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黑体" w:hAnsi="黑体" w:eastAsia="黑体" w:cs="宋体"/>
          <w:kern w:val="0"/>
          <w:sz w:val="32"/>
          <w:szCs w:val="32"/>
        </w:rPr>
      </w:pPr>
    </w:p>
    <w:p>
      <w:pPr>
        <w:widowControl/>
        <w:spacing w:before="100" w:beforeAutospacing="1" w:after="100" w:afterAutospacing="1"/>
        <w:outlineLvl w:val="1"/>
        <w:rPr>
          <w:rFonts w:ascii="宋体" w:hAnsi="宋体" w:cs="宋体"/>
          <w:b/>
          <w:bCs/>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p>
    <w:p>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新疆维吾尔自治区新疆财经大学</w:t>
      </w:r>
      <w:r>
        <w:rPr>
          <w:rFonts w:hint="eastAsia" w:ascii="方正小标宋_GBK" w:hAnsi="宋体" w:eastAsia="方正小标宋_GBK"/>
          <w:kern w:val="0"/>
          <w:sz w:val="44"/>
          <w:szCs w:val="44"/>
          <w:lang w:val="en-US" w:eastAsia="zh-CN"/>
        </w:rPr>
        <w:t>2019</w:t>
      </w:r>
      <w:r>
        <w:rPr>
          <w:rFonts w:hint="eastAsia" w:ascii="方正小标宋_GBK" w:hAnsi="宋体" w:eastAsia="方正小标宋_GBK"/>
          <w:kern w:val="0"/>
          <w:sz w:val="44"/>
          <w:szCs w:val="44"/>
        </w:rPr>
        <w:t>年</w:t>
      </w:r>
    </w:p>
    <w:p>
      <w:pPr>
        <w:widowControl/>
        <w:spacing w:before="100" w:beforeAutospacing="1" w:after="100" w:afterAutospacing="1"/>
        <w:jc w:val="center"/>
        <w:outlineLvl w:val="1"/>
        <w:rPr>
          <w:rFonts w:ascii="宋体" w:hAnsi="宋体"/>
          <w:b/>
          <w:kern w:val="0"/>
          <w:sz w:val="44"/>
          <w:szCs w:val="44"/>
        </w:rPr>
      </w:pPr>
      <w:r>
        <w:rPr>
          <w:rFonts w:hint="eastAsia" w:ascii="方正小标宋_GBK" w:hAnsi="宋体" w:eastAsia="方正小标宋_GBK"/>
          <w:kern w:val="0"/>
          <w:sz w:val="44"/>
          <w:szCs w:val="44"/>
        </w:rPr>
        <w:t>部门预算公开</w:t>
      </w: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jc w:val="center"/>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before="100" w:beforeAutospacing="1" w:after="100" w:afterAutospacing="1"/>
        <w:outlineLvl w:val="1"/>
        <w:rPr>
          <w:rFonts w:ascii="宋体" w:hAnsi="宋体"/>
          <w:b/>
          <w:kern w:val="0"/>
          <w:sz w:val="44"/>
          <w:szCs w:val="44"/>
        </w:rPr>
      </w:pPr>
    </w:p>
    <w:p>
      <w:pPr>
        <w:widowControl/>
        <w:spacing w:line="500" w:lineRule="exact"/>
        <w:jc w:val="center"/>
        <w:outlineLvl w:val="1"/>
        <w:rPr>
          <w:rFonts w:hint="eastAsia" w:ascii="黑体" w:hAnsi="黑体" w:eastAsia="黑体"/>
          <w:kern w:val="0"/>
          <w:sz w:val="44"/>
          <w:szCs w:val="44"/>
        </w:rPr>
      </w:pPr>
    </w:p>
    <w:p>
      <w:pPr>
        <w:widowControl/>
        <w:spacing w:line="500" w:lineRule="exact"/>
        <w:jc w:val="center"/>
        <w:outlineLvl w:val="1"/>
        <w:rPr>
          <w:rFonts w:hint="eastAsia" w:ascii="黑体" w:hAnsi="黑体" w:eastAsia="黑体"/>
          <w:kern w:val="0"/>
          <w:sz w:val="44"/>
          <w:szCs w:val="44"/>
        </w:rPr>
      </w:pPr>
    </w:p>
    <w:p>
      <w:pPr>
        <w:widowControl/>
        <w:spacing w:line="500" w:lineRule="exact"/>
        <w:jc w:val="both"/>
        <w:outlineLvl w:val="1"/>
        <w:rPr>
          <w:rFonts w:hint="eastAsia" w:ascii="黑体" w:hAnsi="黑体" w:eastAsia="黑体"/>
          <w:kern w:val="0"/>
          <w:sz w:val="44"/>
          <w:szCs w:val="44"/>
        </w:rPr>
      </w:pPr>
    </w:p>
    <w:p>
      <w:pPr>
        <w:widowControl/>
        <w:spacing w:line="500" w:lineRule="exact"/>
        <w:jc w:val="both"/>
        <w:outlineLvl w:val="1"/>
        <w:rPr>
          <w:rFonts w:hint="eastAsia" w:ascii="黑体" w:hAnsi="黑体" w:eastAsia="黑体"/>
          <w:kern w:val="0"/>
          <w:sz w:val="44"/>
          <w:szCs w:val="44"/>
        </w:rPr>
        <w:sectPr>
          <w:pgSz w:w="11906" w:h="16838"/>
          <w:pgMar w:top="1134" w:right="1644" w:bottom="794" w:left="1644" w:header="851" w:footer="992" w:gutter="0"/>
          <w:cols w:space="425" w:num="1"/>
          <w:docGrid w:type="lines" w:linePitch="312" w:charSpace="0"/>
        </w:sectPr>
      </w:pPr>
    </w:p>
    <w:p>
      <w:pPr>
        <w:widowControl/>
        <w:spacing w:line="500" w:lineRule="exact"/>
        <w:jc w:val="center"/>
        <w:outlineLvl w:val="1"/>
        <w:rPr>
          <w:rFonts w:hint="eastAsia" w:ascii="黑体" w:hAnsi="黑体" w:eastAsia="黑体"/>
          <w:kern w:val="0"/>
          <w:sz w:val="44"/>
          <w:szCs w:val="44"/>
        </w:rPr>
      </w:pPr>
      <w:r>
        <w:rPr>
          <w:rFonts w:hint="eastAsia" w:ascii="黑体" w:hAnsi="黑体" w:eastAsia="黑体"/>
          <w:kern w:val="0"/>
          <w:sz w:val="44"/>
          <w:szCs w:val="44"/>
        </w:rPr>
        <w:t>目</w:t>
      </w:r>
      <w:r>
        <w:rPr>
          <w:rFonts w:hint="eastAsia" w:ascii="黑体" w:hAnsi="黑体" w:eastAsia="黑体"/>
          <w:kern w:val="0"/>
          <w:sz w:val="44"/>
          <w:szCs w:val="44"/>
          <w:lang w:val="en-US" w:eastAsia="zh-CN"/>
        </w:rPr>
        <w:t xml:space="preserve">  </w:t>
      </w:r>
      <w:r>
        <w:rPr>
          <w:rFonts w:hint="eastAsia" w:ascii="黑体" w:hAnsi="黑体" w:eastAsia="黑体"/>
          <w:kern w:val="0"/>
          <w:sz w:val="44"/>
          <w:szCs w:val="44"/>
        </w:rPr>
        <w:t>录</w:t>
      </w:r>
    </w:p>
    <w:p>
      <w:pPr>
        <w:widowControl/>
        <w:spacing w:line="500" w:lineRule="exact"/>
        <w:jc w:val="center"/>
        <w:outlineLvl w:val="1"/>
        <w:rPr>
          <w:rFonts w:hint="eastAsia" w:ascii="黑体" w:hAnsi="黑体" w:eastAsia="黑体"/>
          <w:kern w:val="0"/>
          <w:sz w:val="44"/>
          <w:szCs w:val="44"/>
        </w:rPr>
      </w:pP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新疆财经大学单位概况</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hint="eastAsia" w:ascii="仿宋_GB2312" w:hAnsi="仿宋_GB2312" w:eastAsia="仿宋_GB2312" w:cs="仿宋_GB2312"/>
          <w:b/>
          <w:kern w:val="0"/>
          <w:sz w:val="32"/>
          <w:szCs w:val="32"/>
          <w:lang w:eastAsia="zh-CN"/>
        </w:rPr>
      </w:pPr>
      <w:r>
        <w:rPr>
          <w:rFonts w:hint="eastAsia" w:ascii="仿宋_GB2312" w:hAnsi="仿宋_GB2312" w:eastAsia="仿宋_GB2312" w:cs="仿宋_GB2312"/>
          <w:b/>
          <w:kern w:val="0"/>
          <w:sz w:val="32"/>
          <w:szCs w:val="32"/>
          <w:lang w:eastAsia="zh-CN"/>
        </w:rPr>
        <w:t>第二部分  201</w:t>
      </w:r>
      <w:r>
        <w:rPr>
          <w:rFonts w:hint="eastAsia" w:ascii="仿宋_GB2312" w:hAnsi="仿宋_GB2312" w:eastAsia="仿宋_GB2312" w:cs="仿宋_GB2312"/>
          <w:b/>
          <w:kern w:val="0"/>
          <w:sz w:val="32"/>
          <w:szCs w:val="32"/>
          <w:lang w:val="en-US" w:eastAsia="zh-CN"/>
        </w:rPr>
        <w:t>9</w:t>
      </w:r>
      <w:r>
        <w:rPr>
          <w:rFonts w:hint="eastAsia" w:ascii="仿宋_GB2312" w:hAnsi="仿宋_GB2312" w:eastAsia="仿宋_GB2312" w:cs="仿宋_GB2312"/>
          <w:b/>
          <w:kern w:val="0"/>
          <w:sz w:val="32"/>
          <w:szCs w:val="32"/>
          <w:lang w:eastAsia="zh-CN"/>
        </w:rPr>
        <w:t>年部门预算公开表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第三部分  201</w:t>
      </w:r>
      <w:r>
        <w:rPr>
          <w:rFonts w:hint="eastAsia" w:ascii="仿宋_GB2312" w:hAnsi="宋体" w:eastAsia="仿宋_GB2312"/>
          <w:b/>
          <w:kern w:val="0"/>
          <w:sz w:val="32"/>
          <w:szCs w:val="32"/>
          <w:lang w:val="en-US" w:eastAsia="zh-CN"/>
        </w:rPr>
        <w:t>9</w:t>
      </w:r>
      <w:r>
        <w:rPr>
          <w:rFonts w:hint="eastAsia" w:ascii="仿宋_GB2312" w:hAnsi="宋体" w:eastAsia="仿宋_GB2312"/>
          <w:b/>
          <w:kern w:val="0"/>
          <w:sz w:val="32"/>
          <w:szCs w:val="32"/>
          <w:lang w:eastAsia="zh-CN"/>
        </w:rPr>
        <w:t>年</w:t>
      </w:r>
      <w:r>
        <w:rPr>
          <w:rFonts w:hint="eastAsia" w:ascii="仿宋_GB2312" w:hAnsi="宋体" w:eastAsia="仿宋_GB2312"/>
          <w:b/>
          <w:kern w:val="0"/>
          <w:sz w:val="32"/>
          <w:szCs w:val="32"/>
        </w:rPr>
        <w:t>部门预算情况说明</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一、关于新疆财经大学201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年收支预算情况的总体说明</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二、关于新疆财经大学</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年收入预算情况说明</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三、关于新疆财经大学</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年支出预算情况说明</w:t>
      </w:r>
    </w:p>
    <w:p>
      <w:pPr>
        <w:keepNext w:val="0"/>
        <w:keepLines w:val="0"/>
        <w:pageBreakBefore w:val="0"/>
        <w:widowControl/>
        <w:kinsoku/>
        <w:wordWrap/>
        <w:overflowPunct/>
        <w:topLinePunct w:val="0"/>
        <w:autoSpaceDE/>
        <w:autoSpaceDN/>
        <w:bidi w:val="0"/>
        <w:adjustRightInd w:val="0"/>
        <w:snapToGrid w:val="0"/>
        <w:spacing w:line="460" w:lineRule="exact"/>
        <w:ind w:left="640" w:hanging="640" w:hangingChars="200"/>
        <w:textAlignment w:val="auto"/>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新疆财经大学</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w:t>
      </w:r>
      <w:r>
        <w:rPr>
          <w:rFonts w:hint="eastAsia" w:ascii="仿宋_GB2312" w:hAnsi="宋体" w:eastAsia="仿宋_GB2312"/>
          <w:bCs/>
          <w:kern w:val="0"/>
          <w:sz w:val="32"/>
          <w:szCs w:val="32"/>
        </w:rPr>
        <w:t>财政拨款收支预算情况的总体说明</w:t>
      </w:r>
    </w:p>
    <w:p>
      <w:pPr>
        <w:keepNext w:val="0"/>
        <w:keepLines w:val="0"/>
        <w:pageBreakBefore w:val="0"/>
        <w:widowControl/>
        <w:kinsoku/>
        <w:wordWrap/>
        <w:overflowPunct/>
        <w:topLinePunct w:val="0"/>
        <w:autoSpaceDE/>
        <w:autoSpaceDN/>
        <w:bidi w:val="0"/>
        <w:adjustRightInd w:val="0"/>
        <w:snapToGrid w:val="0"/>
        <w:spacing w:line="460" w:lineRule="exact"/>
        <w:ind w:left="640" w:hanging="640" w:hanging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五、关于新疆财经大学</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年一般公共预算当年拨款情况说明</w:t>
      </w:r>
    </w:p>
    <w:p>
      <w:pPr>
        <w:keepNext w:val="0"/>
        <w:keepLines w:val="0"/>
        <w:pageBreakBefore w:val="0"/>
        <w:widowControl/>
        <w:kinsoku/>
        <w:wordWrap/>
        <w:overflowPunct/>
        <w:topLinePunct w:val="0"/>
        <w:autoSpaceDE/>
        <w:autoSpaceDN/>
        <w:bidi w:val="0"/>
        <w:adjustRightInd w:val="0"/>
        <w:snapToGrid w:val="0"/>
        <w:spacing w:line="460" w:lineRule="exact"/>
        <w:ind w:left="640" w:hanging="640" w:hanging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六、关于新疆财经大学</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年一般公共预算基本支出情况说明</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七、关于新疆财经大学</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年项目支出情况说明</w:t>
      </w:r>
    </w:p>
    <w:p>
      <w:pPr>
        <w:keepNext w:val="0"/>
        <w:keepLines w:val="0"/>
        <w:pageBreakBefore w:val="0"/>
        <w:widowControl/>
        <w:kinsoku/>
        <w:wordWrap/>
        <w:overflowPunct/>
        <w:topLinePunct w:val="0"/>
        <w:autoSpaceDE/>
        <w:autoSpaceDN/>
        <w:bidi w:val="0"/>
        <w:adjustRightInd w:val="0"/>
        <w:snapToGrid w:val="0"/>
        <w:spacing w:line="460" w:lineRule="exact"/>
        <w:ind w:left="480" w:hanging="480" w:hangingChars="15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八、关于新疆财经大学</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年一般公共预算“三公”经费预算情况说明</w:t>
      </w:r>
    </w:p>
    <w:p>
      <w:pPr>
        <w:keepNext w:val="0"/>
        <w:keepLines w:val="0"/>
        <w:pageBreakBefore w:val="0"/>
        <w:widowControl/>
        <w:kinsoku/>
        <w:wordWrap/>
        <w:overflowPunct/>
        <w:topLinePunct w:val="0"/>
        <w:autoSpaceDE/>
        <w:autoSpaceDN/>
        <w:bidi w:val="0"/>
        <w:adjustRightInd w:val="0"/>
        <w:snapToGrid w:val="0"/>
        <w:spacing w:line="460" w:lineRule="exact"/>
        <w:ind w:left="640" w:hanging="640" w:hangingChars="200"/>
        <w:textAlignment w:val="auto"/>
        <w:outlineLvl w:val="1"/>
        <w:rPr>
          <w:rFonts w:ascii="仿宋_GB2312" w:hAnsi="宋体" w:eastAsia="仿宋_GB2312"/>
          <w:kern w:val="0"/>
          <w:sz w:val="32"/>
          <w:szCs w:val="32"/>
        </w:rPr>
      </w:pPr>
      <w:r>
        <w:rPr>
          <w:rFonts w:hint="eastAsia" w:ascii="仿宋_GB2312" w:hAnsi="宋体" w:eastAsia="仿宋_GB2312"/>
          <w:kern w:val="0"/>
          <w:sz w:val="32"/>
          <w:szCs w:val="32"/>
        </w:rPr>
        <w:t>九、关于新疆财经大学</w:t>
      </w:r>
      <w:r>
        <w:rPr>
          <w:rFonts w:hint="eastAsia" w:ascii="仿宋_GB2312" w:hAnsi="宋体" w:eastAsia="仿宋_GB2312"/>
          <w:kern w:val="0"/>
          <w:sz w:val="32"/>
          <w:szCs w:val="32"/>
          <w:lang w:eastAsia="zh-CN"/>
        </w:rPr>
        <w:t>2019</w:t>
      </w:r>
      <w:r>
        <w:rPr>
          <w:rFonts w:hint="eastAsia" w:ascii="仿宋_GB2312" w:hAnsi="宋体" w:eastAsia="仿宋_GB2312"/>
          <w:kern w:val="0"/>
          <w:sz w:val="32"/>
          <w:szCs w:val="32"/>
        </w:rPr>
        <w:t>年政府性基金预算拨款情况说明</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hint="eastAsia" w:ascii="仿宋_GB2312" w:hAnsi="宋体" w:eastAsia="仿宋_GB2312"/>
          <w:kern w:val="0"/>
          <w:sz w:val="32"/>
          <w:szCs w:val="32"/>
          <w:lang w:eastAsia="zh-CN"/>
        </w:rPr>
      </w:pPr>
      <w:r>
        <w:rPr>
          <w:rFonts w:hint="eastAsia" w:ascii="仿宋_GB2312" w:hAnsi="宋体" w:eastAsia="仿宋_GB2312"/>
          <w:kern w:val="0"/>
          <w:sz w:val="32"/>
          <w:szCs w:val="32"/>
        </w:rPr>
        <w:t>十、其他重要事项的情况</w:t>
      </w:r>
      <w:r>
        <w:rPr>
          <w:rFonts w:hint="eastAsia" w:ascii="仿宋_GB2312" w:hAnsi="宋体" w:eastAsia="仿宋_GB2312"/>
          <w:kern w:val="0"/>
          <w:sz w:val="32"/>
          <w:szCs w:val="32"/>
          <w:lang w:eastAsia="zh-CN"/>
        </w:rPr>
        <w:t>明</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第四部分  名词解释</w:t>
      </w:r>
    </w:p>
    <w:p>
      <w:pPr>
        <w:keepNext w:val="0"/>
        <w:keepLines w:val="0"/>
        <w:pageBreakBefore w:val="0"/>
        <w:widowControl/>
        <w:kinsoku/>
        <w:wordWrap/>
        <w:overflowPunct/>
        <w:topLinePunct w:val="0"/>
        <w:autoSpaceDE/>
        <w:autoSpaceDN/>
        <w:bidi w:val="0"/>
        <w:adjustRightInd w:val="0"/>
        <w:snapToGrid w:val="0"/>
        <w:spacing w:line="460" w:lineRule="exact"/>
        <w:textAlignment w:val="auto"/>
        <w:outlineLvl w:val="1"/>
        <w:rPr>
          <w:rFonts w:hint="eastAsia" w:ascii="仿宋_GB2312" w:hAnsi="宋体" w:eastAsia="仿宋_GB2312"/>
          <w:kern w:val="0"/>
          <w:sz w:val="32"/>
          <w:szCs w:val="32"/>
          <w:lang w:eastAsia="zh-CN"/>
        </w:rPr>
        <w:sectPr>
          <w:footerReference r:id="rId3" w:type="default"/>
          <w:pgSz w:w="11906" w:h="16838"/>
          <w:pgMar w:top="1134" w:right="1644" w:bottom="794" w:left="1644" w:header="851" w:footer="992" w:gutter="0"/>
          <w:pgNumType w:start="1"/>
          <w:cols w:space="425" w:num="1"/>
          <w:docGrid w:type="lines" w:linePitch="312" w:charSpace="0"/>
        </w:sectPr>
      </w:pPr>
    </w:p>
    <w:p>
      <w:pPr>
        <w:numPr>
          <w:ilvl w:val="0"/>
          <w:numId w:val="1"/>
        </w:numPr>
        <w:jc w:val="center"/>
        <w:rPr>
          <w:rFonts w:hint="eastAsia" w:ascii="黑体" w:hAnsi="黑体" w:eastAsia="黑体" w:cs="黑体"/>
          <w:b w:val="0"/>
          <w:bCs/>
          <w:sz w:val="32"/>
          <w:szCs w:val="32"/>
        </w:rPr>
      </w:pPr>
      <w:r>
        <w:rPr>
          <w:rFonts w:hint="eastAsia" w:ascii="黑体" w:hAnsi="黑体" w:eastAsia="黑体" w:cs="黑体"/>
          <w:b w:val="0"/>
          <w:bCs/>
          <w:sz w:val="32"/>
          <w:szCs w:val="32"/>
        </w:rPr>
        <w:t>新疆财经大学单位概况</w:t>
      </w:r>
    </w:p>
    <w:p>
      <w:pPr>
        <w:numPr>
          <w:ilvl w:val="0"/>
          <w:numId w:val="0"/>
        </w:numPr>
        <w:ind w:firstLine="640" w:firstLineChars="200"/>
        <w:jc w:val="both"/>
        <w:rPr>
          <w:rFonts w:ascii="黑体" w:hAnsi="黑体" w:eastAsia="黑体"/>
          <w:sz w:val="32"/>
          <w:szCs w:val="32"/>
        </w:rPr>
      </w:pPr>
      <w:r>
        <w:rPr>
          <w:rFonts w:hint="eastAsia" w:ascii="黑体" w:hAnsi="黑体" w:eastAsia="黑体"/>
          <w:sz w:val="32"/>
          <w:szCs w:val="32"/>
        </w:rPr>
        <w:t>一、主要职能</w:t>
      </w:r>
    </w:p>
    <w:p>
      <w:pPr>
        <w:widowControl/>
        <w:spacing w:line="46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新疆财经大学是一所以经济学、管理学为主，文学、法学、理学、工学协调发展的自治区重点建设大学。学校始建于1950年4月。2000年12月，原新疆财经学院、新疆经济管理干部学院和新疆财政税务学校合并组建成新的新疆财经学院。2007年3月，经教育部批准，学校更名为新疆财经大学。</w:t>
      </w:r>
    </w:p>
    <w:p>
      <w:pPr>
        <w:widowControl/>
        <w:spacing w:line="460" w:lineRule="exact"/>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学校现有16个教学</w:t>
      </w:r>
      <w:r>
        <w:rPr>
          <w:rFonts w:hint="eastAsia" w:ascii="仿宋_GB2312" w:hAnsi="仿宋_GB2312" w:eastAsia="仿宋_GB2312" w:cs="仿宋_GB2312"/>
          <w:kern w:val="0"/>
          <w:sz w:val="32"/>
          <w:szCs w:val="32"/>
          <w:lang w:eastAsia="zh-CN"/>
        </w:rPr>
        <w:t>院部</w:t>
      </w:r>
      <w:r>
        <w:rPr>
          <w:rFonts w:hint="eastAsia" w:ascii="仿宋_GB2312" w:hAnsi="仿宋_GB2312" w:eastAsia="仿宋_GB2312" w:cs="仿宋_GB2312"/>
          <w:kern w:val="0"/>
          <w:sz w:val="32"/>
          <w:szCs w:val="32"/>
        </w:rPr>
        <w:t>，另设有MBA学院、国际教育学院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继续教育学院。</w:t>
      </w:r>
      <w:r>
        <w:rPr>
          <w:rFonts w:hint="eastAsia" w:ascii="仿宋_GB2312" w:hAnsi="仿宋_GB2312" w:eastAsia="仿宋_GB2312" w:cs="仿宋_GB2312"/>
          <w:i w:val="0"/>
          <w:caps w:val="0"/>
          <w:color w:val="000000"/>
          <w:spacing w:val="0"/>
          <w:sz w:val="32"/>
          <w:szCs w:val="32"/>
          <w:shd w:val="clear" w:color="auto" w:fill="FFFFFF"/>
        </w:rPr>
        <w:t>设有中亚经贸研究院、区域经济研究所和金融研究所等研究机构，拥有哈萨克斯坦研究中心、中亚研究中心2个教育部国别区别研究中心，中国（新疆）与中亚区域经济合作研究中心、新疆企业发展研究中心、新疆社会经济统计研究中心3个自治区普通高校人文社科重点研究基地以及中亚经贸研究与汉语人才培养基地。设有国家汉语水平考试（MHK）新疆考点和英国雅思考试（IELTS）新疆考点。</w:t>
      </w:r>
    </w:p>
    <w:p>
      <w:pPr>
        <w:widowControl/>
        <w:spacing w:line="460" w:lineRule="exact"/>
        <w:ind w:firstLine="640" w:firstLineChars="200"/>
        <w:jc w:val="left"/>
        <w:outlineLvl w:val="1"/>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学校拥有3个博士二级学科授权点、1个一级学科博士后科研流动站、5个硕士一级学科授权点、26个硕士二级学科授权点、10个专业学位硕士授权点、35个本科专业、 3个自治区一级重点学科(其中：1个高峰学科、2个高原学科)。</w:t>
      </w:r>
    </w:p>
    <w:p>
      <w:pPr>
        <w:widowControl/>
        <w:spacing w:line="460" w:lineRule="exact"/>
        <w:ind w:firstLine="640" w:firstLineChars="200"/>
        <w:jc w:val="left"/>
        <w:outlineLvl w:val="1"/>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学校与中国人民大学、中央财经大学、上海财经大学、东北财经大学、西南财经大学建立了对口支援关系；与美国协和大学、日本亚细亚大学、英国伯明翰大学等30余所大学建立了合作关系，并与哈萨克斯坦阿克托别州朱巴诺夫国立大学建立了孔子学院。</w:t>
      </w:r>
    </w:p>
    <w:p>
      <w:pPr>
        <w:widowControl/>
        <w:spacing w:line="460" w:lineRule="exact"/>
        <w:ind w:firstLine="640" w:firstLineChars="200"/>
        <w:jc w:val="left"/>
        <w:outlineLvl w:val="1"/>
        <w:rPr>
          <w:rFonts w:hint="eastAsia" w:ascii="仿宋_GB2312" w:hAnsi="仿宋_GB2312" w:eastAsia="仿宋_GB2312" w:cs="仿宋_GB2312"/>
          <w:i w:val="0"/>
          <w:caps w:val="0"/>
          <w:color w:val="000000"/>
          <w:spacing w:val="0"/>
          <w:sz w:val="32"/>
          <w:szCs w:val="32"/>
          <w:shd w:val="clear" w:color="auto" w:fill="FFFFFF"/>
        </w:rPr>
      </w:pPr>
      <w:r>
        <w:rPr>
          <w:rFonts w:hint="eastAsia" w:ascii="仿宋_GB2312" w:hAnsi="仿宋_GB2312" w:eastAsia="仿宋_GB2312" w:cs="仿宋_GB2312"/>
          <w:i w:val="0"/>
          <w:caps w:val="0"/>
          <w:color w:val="000000"/>
          <w:spacing w:val="0"/>
          <w:sz w:val="32"/>
          <w:szCs w:val="32"/>
          <w:shd w:val="clear" w:color="auto" w:fill="FFFFFF"/>
        </w:rPr>
        <w:t>学校坚持以人为本的办学理念，秉承“经世济公、至善至诚”的校训，坚持为新疆经济建设服务，为推进新疆社会稳定和长治久安服务，以深化改革为动力，全面提高教育教学质量，努力实现“新疆名牌、西北一流、全国知名、辐射中亚”的有特色、高水平财经大学的建设目标。</w:t>
      </w:r>
    </w:p>
    <w:p>
      <w:pPr>
        <w:widowControl/>
        <w:spacing w:line="460" w:lineRule="exact"/>
        <w:ind w:firstLine="640" w:firstLineChars="200"/>
        <w:jc w:val="left"/>
        <w:outlineLvl w:val="1"/>
        <w:rPr>
          <w:rFonts w:ascii="黑体" w:hAnsi="黑体" w:eastAsia="黑体"/>
          <w:sz w:val="32"/>
          <w:szCs w:val="32"/>
        </w:rPr>
      </w:pPr>
      <w:r>
        <w:rPr>
          <w:rFonts w:hint="eastAsia" w:ascii="黑体" w:hAnsi="黑体" w:eastAsia="黑体"/>
          <w:sz w:val="32"/>
          <w:szCs w:val="32"/>
        </w:rPr>
        <w:t>二、机构设置及人员情况</w:t>
      </w:r>
    </w:p>
    <w:p>
      <w:pPr>
        <w:spacing w:line="440" w:lineRule="exact"/>
        <w:jc w:val="left"/>
        <w:rPr>
          <w:rFonts w:hint="eastAsia" w:ascii="仿宋_GB2312" w:hAnsi="仿宋_GB2312" w:eastAsia="仿宋_GB2312" w:cs="仿宋_GB2312"/>
          <w:color w:val="auto"/>
          <w:sz w:val="32"/>
          <w:szCs w:val="32"/>
        </w:rPr>
      </w:pPr>
      <w:r>
        <w:rPr>
          <w:rFonts w:hint="eastAsia"/>
          <w:sz w:val="28"/>
          <w:szCs w:val="28"/>
        </w:rPr>
        <w:t xml:space="preserve"> </w:t>
      </w:r>
      <w:r>
        <w:rPr>
          <w:rFonts w:hint="eastAsia"/>
          <w:sz w:val="28"/>
          <w:szCs w:val="28"/>
          <w:lang w:val="en-US" w:eastAsia="zh-CN"/>
        </w:rPr>
        <w:t xml:space="preserve">    </w:t>
      </w:r>
      <w:r>
        <w:rPr>
          <w:rFonts w:hint="eastAsia" w:ascii="仿宋_GB2312" w:hAnsi="仿宋_GB2312" w:eastAsia="仿宋_GB2312" w:cs="仿宋_GB2312"/>
          <w:color w:val="auto"/>
          <w:sz w:val="32"/>
          <w:szCs w:val="32"/>
        </w:rPr>
        <w:t>新疆财经大学无下属单位，下设4</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个处室，分别是：校党委办公室、组织部、</w:t>
      </w:r>
      <w:r>
        <w:rPr>
          <w:rFonts w:hint="eastAsia" w:ascii="仿宋_GB2312" w:hAnsi="仿宋_GB2312" w:eastAsia="仿宋_GB2312" w:cs="仿宋_GB2312"/>
          <w:color w:val="auto"/>
          <w:sz w:val="32"/>
          <w:szCs w:val="32"/>
          <w:lang w:eastAsia="zh-CN"/>
        </w:rPr>
        <w:t>统战部、</w:t>
      </w:r>
      <w:r>
        <w:rPr>
          <w:rFonts w:hint="eastAsia" w:ascii="仿宋_GB2312" w:hAnsi="仿宋_GB2312" w:eastAsia="仿宋_GB2312" w:cs="仿宋_GB2312"/>
          <w:color w:val="auto"/>
          <w:sz w:val="32"/>
          <w:szCs w:val="32"/>
        </w:rPr>
        <w:t>人事处、宣传部、纪检监察室、审计处、期刊编辑部、国际交流与合作处、科研处、研究生处、教务处、网络与实践教学中心、图书馆、学生工作处、保卫处、</w:t>
      </w:r>
      <w:r>
        <w:rPr>
          <w:rFonts w:hint="eastAsia" w:ascii="仿宋_GB2312" w:hAnsi="仿宋_GB2312" w:eastAsia="仿宋_GB2312" w:cs="仿宋_GB2312"/>
          <w:color w:val="auto"/>
          <w:sz w:val="32"/>
          <w:szCs w:val="32"/>
          <w:lang w:eastAsia="zh-CN"/>
        </w:rPr>
        <w:t>财务</w:t>
      </w:r>
      <w:r>
        <w:rPr>
          <w:rFonts w:hint="eastAsia" w:ascii="仿宋_GB2312" w:hAnsi="仿宋_GB2312" w:eastAsia="仿宋_GB2312" w:cs="仿宋_GB2312"/>
          <w:color w:val="auto"/>
          <w:sz w:val="32"/>
          <w:szCs w:val="32"/>
        </w:rPr>
        <w:t>处、团委、工会、资产处、离退休职工</w:t>
      </w:r>
      <w:r>
        <w:rPr>
          <w:rFonts w:hint="eastAsia" w:ascii="仿宋_GB2312" w:hAnsi="仿宋_GB2312" w:eastAsia="仿宋_GB2312" w:cs="仿宋_GB2312"/>
          <w:color w:val="auto"/>
          <w:sz w:val="32"/>
          <w:szCs w:val="32"/>
          <w:lang w:eastAsia="zh-CN"/>
        </w:rPr>
        <w:t>服务</w:t>
      </w:r>
      <w:r>
        <w:rPr>
          <w:rFonts w:hint="eastAsia" w:ascii="仿宋_GB2312" w:hAnsi="仿宋_GB2312" w:eastAsia="仿宋_GB2312" w:cs="仿宋_GB2312"/>
          <w:color w:val="auto"/>
          <w:sz w:val="32"/>
          <w:szCs w:val="32"/>
        </w:rPr>
        <w:t>中心、机关</w:t>
      </w:r>
      <w:r>
        <w:rPr>
          <w:rFonts w:hint="eastAsia" w:ascii="仿宋_GB2312" w:hAnsi="仿宋_GB2312" w:eastAsia="仿宋_GB2312" w:cs="仿宋_GB2312"/>
          <w:color w:val="auto"/>
          <w:sz w:val="32"/>
          <w:szCs w:val="32"/>
          <w:lang w:eastAsia="zh-CN"/>
        </w:rPr>
        <w:t>党委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HSK管理与服务中心、孔子学院、</w:t>
      </w:r>
      <w:r>
        <w:rPr>
          <w:rFonts w:hint="eastAsia" w:ascii="仿宋_GB2312" w:hAnsi="仿宋_GB2312" w:eastAsia="仿宋_GB2312" w:cs="仿宋_GB2312"/>
          <w:color w:val="auto"/>
          <w:sz w:val="32"/>
          <w:szCs w:val="32"/>
        </w:rPr>
        <w:t>中亚经贸研究院、发展规划处、创新创业服务中心、后勤处、公寓中心、法学院、工商管理学院、公共经济与管理学院、国际</w:t>
      </w:r>
      <w:r>
        <w:rPr>
          <w:rFonts w:hint="eastAsia" w:ascii="仿宋_GB2312" w:hAnsi="仿宋_GB2312" w:eastAsia="仿宋_GB2312" w:cs="仿宋_GB2312"/>
          <w:color w:val="auto"/>
          <w:sz w:val="32"/>
          <w:szCs w:val="32"/>
          <w:lang w:eastAsia="zh-CN"/>
        </w:rPr>
        <w:t>经贸</w:t>
      </w:r>
      <w:r>
        <w:rPr>
          <w:rFonts w:hint="eastAsia" w:ascii="仿宋_GB2312" w:hAnsi="仿宋_GB2312" w:eastAsia="仿宋_GB2312" w:cs="仿宋_GB2312"/>
          <w:color w:val="auto"/>
          <w:sz w:val="32"/>
          <w:szCs w:val="32"/>
        </w:rPr>
        <w:t>学院、会计学院、计算机</w:t>
      </w:r>
      <w:r>
        <w:rPr>
          <w:rFonts w:hint="eastAsia" w:ascii="仿宋_GB2312" w:hAnsi="仿宋_GB2312" w:eastAsia="仿宋_GB2312" w:cs="仿宋_GB2312"/>
          <w:color w:val="auto"/>
          <w:sz w:val="32"/>
          <w:szCs w:val="32"/>
          <w:lang w:eastAsia="zh-CN"/>
        </w:rPr>
        <w:t>科学与工程</w:t>
      </w:r>
      <w:r>
        <w:rPr>
          <w:rFonts w:hint="eastAsia" w:ascii="仿宋_GB2312" w:hAnsi="仿宋_GB2312" w:eastAsia="仿宋_GB2312" w:cs="仿宋_GB2312"/>
          <w:color w:val="auto"/>
          <w:sz w:val="32"/>
          <w:szCs w:val="32"/>
        </w:rPr>
        <w:t>学院、金融学院、经济学院、旅游学院、马列部、体育部、统计</w:t>
      </w:r>
      <w:r>
        <w:rPr>
          <w:rFonts w:hint="eastAsia" w:ascii="仿宋_GB2312" w:hAnsi="仿宋_GB2312" w:eastAsia="仿宋_GB2312" w:cs="仿宋_GB2312"/>
          <w:color w:val="auto"/>
          <w:sz w:val="32"/>
          <w:szCs w:val="32"/>
          <w:lang w:eastAsia="zh-CN"/>
        </w:rPr>
        <w:t>与信息</w:t>
      </w:r>
      <w:r>
        <w:rPr>
          <w:rFonts w:hint="eastAsia" w:ascii="仿宋_GB2312" w:hAnsi="仿宋_GB2312" w:eastAsia="仿宋_GB2312" w:cs="仿宋_GB2312"/>
          <w:color w:val="auto"/>
          <w:sz w:val="32"/>
          <w:szCs w:val="32"/>
        </w:rPr>
        <w:t>学院、外</w:t>
      </w:r>
      <w:r>
        <w:rPr>
          <w:rFonts w:hint="eastAsia" w:ascii="仿宋_GB2312" w:hAnsi="仿宋_GB2312" w:eastAsia="仿宋_GB2312" w:cs="仿宋_GB2312"/>
          <w:color w:val="auto"/>
          <w:sz w:val="32"/>
          <w:szCs w:val="32"/>
          <w:lang w:eastAsia="zh-CN"/>
        </w:rPr>
        <w:t>国</w:t>
      </w:r>
      <w:r>
        <w:rPr>
          <w:rFonts w:hint="eastAsia" w:ascii="仿宋_GB2312" w:hAnsi="仿宋_GB2312" w:eastAsia="仿宋_GB2312" w:cs="仿宋_GB2312"/>
          <w:color w:val="auto"/>
          <w:sz w:val="32"/>
          <w:szCs w:val="32"/>
        </w:rPr>
        <w:t>语学院、新闻与传</w:t>
      </w:r>
      <w:r>
        <w:rPr>
          <w:rFonts w:hint="eastAsia" w:ascii="仿宋_GB2312" w:hAnsi="仿宋_GB2312" w:eastAsia="仿宋_GB2312" w:cs="仿宋_GB2312"/>
          <w:color w:val="auto"/>
          <w:sz w:val="32"/>
          <w:szCs w:val="32"/>
          <w:lang w:eastAsia="zh-CN"/>
        </w:rPr>
        <w:t>媒</w:t>
      </w:r>
      <w:r>
        <w:rPr>
          <w:rFonts w:hint="eastAsia" w:ascii="仿宋_GB2312" w:hAnsi="仿宋_GB2312" w:eastAsia="仿宋_GB2312" w:cs="仿宋_GB2312"/>
          <w:color w:val="auto"/>
          <w:sz w:val="32"/>
          <w:szCs w:val="32"/>
        </w:rPr>
        <w:t>学院、应用数学学院、</w:t>
      </w:r>
      <w:r>
        <w:rPr>
          <w:rFonts w:hint="eastAsia" w:ascii="仿宋_GB2312" w:hAnsi="仿宋_GB2312" w:eastAsia="仿宋_GB2312" w:cs="仿宋_GB2312"/>
          <w:color w:val="auto"/>
          <w:sz w:val="32"/>
          <w:szCs w:val="32"/>
          <w:lang w:eastAsia="zh-CN"/>
        </w:rPr>
        <w:t>预科</w:t>
      </w:r>
      <w:r>
        <w:rPr>
          <w:rFonts w:hint="eastAsia" w:ascii="仿宋_GB2312" w:hAnsi="仿宋_GB2312" w:eastAsia="仿宋_GB2312" w:cs="仿宋_GB2312"/>
          <w:color w:val="auto"/>
          <w:sz w:val="32"/>
          <w:szCs w:val="32"/>
        </w:rPr>
        <w:t>学院、国际教育学院、商务学院、继续教育学院、MBA学院。</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新疆财经大学编制数1480人，实有人数</w:t>
      </w:r>
      <w:r>
        <w:rPr>
          <w:rFonts w:hint="eastAsia" w:ascii="仿宋_GB2312" w:hAnsi="仿宋_GB2312" w:eastAsia="仿宋_GB2312" w:cs="仿宋_GB2312"/>
          <w:sz w:val="32"/>
          <w:szCs w:val="32"/>
          <w:lang w:val="en-US" w:eastAsia="zh-CN"/>
        </w:rPr>
        <w:t>1902</w:t>
      </w:r>
      <w:r>
        <w:rPr>
          <w:rFonts w:hint="eastAsia" w:ascii="仿宋_GB2312" w:hAnsi="仿宋_GB2312" w:eastAsia="仿宋_GB2312" w:cs="仿宋_GB2312"/>
          <w:sz w:val="32"/>
          <w:szCs w:val="32"/>
        </w:rPr>
        <w:t>人，其中:在职</w:t>
      </w:r>
      <w:r>
        <w:rPr>
          <w:rFonts w:hint="eastAsia" w:ascii="仿宋_GB2312" w:hAnsi="仿宋_GB2312" w:eastAsia="仿宋_GB2312" w:cs="仿宋_GB2312"/>
          <w:sz w:val="32"/>
          <w:szCs w:val="32"/>
          <w:lang w:val="en-US" w:eastAsia="zh-CN"/>
        </w:rPr>
        <w:t>1276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人；退休</w:t>
      </w:r>
      <w:r>
        <w:rPr>
          <w:rFonts w:hint="eastAsia" w:ascii="仿宋_GB2312" w:hAnsi="仿宋_GB2312" w:eastAsia="仿宋_GB2312" w:cs="仿宋_GB2312"/>
          <w:sz w:val="32"/>
          <w:szCs w:val="32"/>
          <w:lang w:val="en-US" w:eastAsia="zh-CN"/>
        </w:rPr>
        <w:t>617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人；离休</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人，减少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w:t>
      </w:r>
    </w:p>
    <w:p/>
    <w:p/>
    <w:p/>
    <w:p/>
    <w:p/>
    <w:p/>
    <w:p/>
    <w:p/>
    <w:p/>
    <w:p/>
    <w:p/>
    <w:p/>
    <w:p/>
    <w:p/>
    <w:p/>
    <w:p/>
    <w:p/>
    <w:p/>
    <w:p/>
    <w:p/>
    <w:p/>
    <w:p/>
    <w:p/>
    <w:p/>
    <w:p>
      <w:pPr>
        <w:numPr>
          <w:ilvl w:val="0"/>
          <w:numId w:val="1"/>
        </w:numPr>
        <w:ind w:left="0" w:leftChars="0" w:firstLine="0" w:firstLineChars="0"/>
        <w:jc w:val="center"/>
        <w:rPr>
          <w:rFonts w:hint="eastAsia" w:ascii="黑体" w:hAnsi="黑体" w:eastAsia="黑体" w:cs="黑体"/>
          <w:b w:val="0"/>
          <w:bCs/>
          <w:sz w:val="32"/>
          <w:szCs w:val="32"/>
        </w:rPr>
      </w:pPr>
      <w:r>
        <w:rPr>
          <w:rFonts w:hint="eastAsia" w:ascii="黑体" w:hAnsi="黑体" w:eastAsia="黑体" w:cs="黑体"/>
          <w:b w:val="0"/>
          <w:bCs/>
          <w:sz w:val="32"/>
          <w:szCs w:val="32"/>
        </w:rPr>
        <w:t>201</w:t>
      </w: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rPr>
        <w:t>年部门预算公开表</w:t>
      </w:r>
    </w:p>
    <w:p>
      <w:pPr>
        <w:numPr>
          <w:ilvl w:val="0"/>
          <w:numId w:val="0"/>
        </w:numPr>
        <w:ind w:leftChars="0"/>
        <w:jc w:val="both"/>
        <w:rPr>
          <w:rFonts w:ascii="仿宋_GB2312" w:hAnsi="宋体" w:eastAsia="仿宋_GB2312"/>
          <w:b/>
          <w:kern w:val="0"/>
          <w:sz w:val="32"/>
          <w:szCs w:val="32"/>
        </w:rPr>
      </w:pPr>
      <w:r>
        <w:rPr>
          <w:rFonts w:hint="eastAsia" w:ascii="仿宋_GB2312" w:hAnsi="宋体" w:eastAsia="仿宋_GB2312"/>
          <w:b/>
          <w:kern w:val="0"/>
          <w:sz w:val="32"/>
          <w:szCs w:val="32"/>
        </w:rPr>
        <w:t>表一：</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pPr>
        <w:widowControl/>
        <w:outlineLvl w:val="1"/>
        <w:rPr>
          <w:rFonts w:hint="eastAsia" w:ascii="仿宋_GB2312" w:hAnsi="宋体" w:eastAsia="仿宋_GB2312"/>
          <w:kern w:val="0"/>
          <w:sz w:val="24"/>
        </w:rPr>
      </w:pPr>
      <w:r>
        <w:rPr>
          <w:rFonts w:hint="eastAsia" w:ascii="仿宋_GB2312" w:hAnsi="宋体" w:eastAsia="仿宋_GB2312"/>
          <w:kern w:val="0"/>
          <w:sz w:val="24"/>
        </w:rPr>
        <w:t>编制部门：新疆财经大学                                        单位</w:t>
      </w:r>
      <w:r>
        <w:rPr>
          <w:rFonts w:hint="eastAsia" w:ascii="仿宋_GB2312" w:hAnsi="宋体" w:eastAsia="仿宋_GB2312"/>
          <w:kern w:val="0"/>
          <w:sz w:val="24"/>
          <w:lang w:eastAsia="zh-CN"/>
        </w:rPr>
        <w:t>：</w:t>
      </w:r>
      <w:r>
        <w:rPr>
          <w:rFonts w:hint="eastAsia" w:ascii="仿宋_GB2312" w:hAnsi="宋体" w:eastAsia="仿宋_GB2312"/>
          <w:kern w:val="0"/>
          <w:sz w:val="24"/>
        </w:rPr>
        <w:t>万元</w:t>
      </w:r>
    </w:p>
    <w:p>
      <w:pPr>
        <w:widowControl/>
        <w:outlineLvl w:val="1"/>
        <w:rPr>
          <w:rFonts w:hint="eastAsia" w:ascii="仿宋_GB2312" w:hAnsi="宋体" w:eastAsia="仿宋_GB2312"/>
          <w:b/>
          <w:kern w:val="0"/>
          <w:sz w:val="32"/>
          <w:szCs w:val="32"/>
        </w:rPr>
      </w:pPr>
      <w:r>
        <w:drawing>
          <wp:inline distT="0" distB="0" distL="114300" distR="114300">
            <wp:extent cx="5647055" cy="7223760"/>
            <wp:effectExtent l="0" t="0" r="10795" b="1524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6"/>
                    <a:stretch>
                      <a:fillRect/>
                    </a:stretch>
                  </pic:blipFill>
                  <pic:spPr>
                    <a:xfrm>
                      <a:off x="0" y="0"/>
                      <a:ext cx="5647055" cy="7223760"/>
                    </a:xfrm>
                    <a:prstGeom prst="rect">
                      <a:avLst/>
                    </a:prstGeom>
                    <a:noFill/>
                    <a:ln w="9525">
                      <a:noFill/>
                    </a:ln>
                  </pic:spPr>
                </pic:pic>
              </a:graphicData>
            </a:graphic>
          </wp:inline>
        </w:drawing>
      </w: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pPr>
        <w:widowControl/>
        <w:outlineLvl w:val="1"/>
        <w:rPr>
          <w:rFonts w:hint="eastAsia" w:ascii="仿宋_GB2312" w:hAnsi="宋体" w:eastAsia="仿宋_GB2312"/>
          <w:kern w:val="0"/>
          <w:sz w:val="24"/>
        </w:rPr>
      </w:pPr>
      <w:r>
        <w:rPr>
          <w:rFonts w:hint="eastAsia" w:ascii="仿宋_GB2312" w:hAnsi="宋体" w:eastAsia="仿宋_GB2312"/>
          <w:kern w:val="0"/>
          <w:sz w:val="24"/>
        </w:rPr>
        <w:t>编制部门：新疆财经大学                                        单位</w:t>
      </w:r>
      <w:r>
        <w:rPr>
          <w:rFonts w:hint="eastAsia" w:ascii="仿宋_GB2312" w:hAnsi="宋体" w:eastAsia="仿宋_GB2312"/>
          <w:kern w:val="0"/>
          <w:sz w:val="24"/>
          <w:lang w:eastAsia="zh-CN"/>
        </w:rPr>
        <w:t>：</w:t>
      </w:r>
      <w:r>
        <w:rPr>
          <w:rFonts w:hint="eastAsia" w:ascii="仿宋_GB2312" w:hAnsi="宋体" w:eastAsia="仿宋_GB2312"/>
          <w:kern w:val="0"/>
          <w:sz w:val="24"/>
        </w:rPr>
        <w:t>万元</w:t>
      </w:r>
    </w:p>
    <w:p>
      <w:pPr>
        <w:widowControl/>
        <w:jc w:val="left"/>
        <w:outlineLvl w:val="1"/>
        <w:rPr>
          <w:rFonts w:hint="eastAsia" w:ascii="仿宋_GB2312" w:hAnsi="宋体" w:eastAsia="仿宋_GB2312"/>
          <w:kern w:val="0"/>
          <w:sz w:val="24"/>
        </w:rPr>
      </w:pPr>
      <w:r>
        <w:drawing>
          <wp:inline distT="0" distB="0" distL="114300" distR="114300">
            <wp:extent cx="5644515" cy="5539740"/>
            <wp:effectExtent l="0" t="0" r="13335"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7"/>
                    <a:stretch>
                      <a:fillRect/>
                    </a:stretch>
                  </pic:blipFill>
                  <pic:spPr>
                    <a:xfrm>
                      <a:off x="0" y="0"/>
                      <a:ext cx="5644515" cy="5539740"/>
                    </a:xfrm>
                    <a:prstGeom prst="rect">
                      <a:avLst/>
                    </a:prstGeom>
                    <a:noFill/>
                    <a:ln w="9525">
                      <a:noFill/>
                    </a:ln>
                  </pic:spPr>
                </pic:pic>
              </a:graphicData>
            </a:graphic>
          </wp:inline>
        </w:drawing>
      </w:r>
    </w:p>
    <w:p>
      <w:pPr>
        <w:widowControl/>
        <w:outlineLvl w:val="1"/>
        <w:rPr>
          <w:rFonts w:hint="eastAsia"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outlineLvl w:val="1"/>
        <w:rPr>
          <w:rFonts w:hint="eastAsia" w:ascii="仿宋_GB2312" w:hAnsi="宋体" w:eastAsia="仿宋_GB2312"/>
          <w:b/>
          <w:kern w:val="0"/>
          <w:sz w:val="28"/>
          <w:szCs w:val="32"/>
        </w:rPr>
      </w:pPr>
    </w:p>
    <w:p>
      <w:pPr>
        <w:widowControl/>
        <w:outlineLvl w:val="1"/>
        <w:rPr>
          <w:rFonts w:hint="eastAsia" w:ascii="仿宋_GB2312" w:hAnsi="宋体" w:eastAsia="仿宋_GB2312"/>
          <w:b/>
          <w:kern w:val="0"/>
          <w:sz w:val="28"/>
          <w:szCs w:val="32"/>
        </w:rPr>
      </w:pPr>
    </w:p>
    <w:p>
      <w:pPr>
        <w:widowControl/>
        <w:outlineLvl w:val="1"/>
        <w:rPr>
          <w:rFonts w:hint="eastAsia" w:ascii="仿宋_GB2312" w:hAnsi="宋体" w:eastAsia="仿宋_GB2312"/>
          <w:b/>
          <w:kern w:val="0"/>
          <w:sz w:val="28"/>
          <w:szCs w:val="32"/>
        </w:rPr>
      </w:pPr>
    </w:p>
    <w:p>
      <w:pPr>
        <w:widowControl/>
        <w:outlineLvl w:val="1"/>
        <w:rPr>
          <w:rFonts w:hint="eastAsia" w:ascii="仿宋_GB2312" w:hAnsi="宋体" w:eastAsia="仿宋_GB2312"/>
          <w:b/>
          <w:kern w:val="0"/>
          <w:sz w:val="28"/>
          <w:szCs w:val="32"/>
        </w:rPr>
      </w:pPr>
    </w:p>
    <w:p>
      <w:pPr>
        <w:widowControl/>
        <w:outlineLvl w:val="1"/>
        <w:rPr>
          <w:rFonts w:hint="eastAsia" w:ascii="仿宋_GB2312" w:hAnsi="宋体" w:eastAsia="仿宋_GB2312"/>
          <w:b/>
          <w:kern w:val="0"/>
          <w:sz w:val="28"/>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pPr>
        <w:widowControl/>
        <w:outlineLvl w:val="1"/>
        <w:rPr>
          <w:rFonts w:hint="eastAsia" w:ascii="仿宋_GB2312" w:hAnsi="宋体" w:eastAsia="仿宋_GB2312"/>
          <w:kern w:val="0"/>
          <w:sz w:val="24"/>
        </w:rPr>
      </w:pPr>
      <w:r>
        <w:rPr>
          <w:rFonts w:hint="eastAsia" w:ascii="仿宋_GB2312" w:hAnsi="宋体" w:eastAsia="仿宋_GB2312"/>
          <w:kern w:val="0"/>
          <w:sz w:val="24"/>
        </w:rPr>
        <w:t>编制部门：新疆财经大学                                        单位</w:t>
      </w:r>
      <w:r>
        <w:rPr>
          <w:rFonts w:hint="eastAsia" w:ascii="仿宋_GB2312" w:hAnsi="宋体" w:eastAsia="仿宋_GB2312"/>
          <w:kern w:val="0"/>
          <w:sz w:val="24"/>
          <w:lang w:eastAsia="zh-CN"/>
        </w:rPr>
        <w:t>：</w:t>
      </w:r>
      <w:r>
        <w:rPr>
          <w:rFonts w:hint="eastAsia" w:ascii="仿宋_GB2312" w:hAnsi="宋体" w:eastAsia="仿宋_GB2312"/>
          <w:kern w:val="0"/>
          <w:sz w:val="24"/>
        </w:rPr>
        <w:t>万元</w:t>
      </w:r>
    </w:p>
    <w:p>
      <w:pPr>
        <w:widowControl/>
        <w:outlineLvl w:val="1"/>
        <w:rPr>
          <w:rFonts w:ascii="仿宋_GB2312" w:hAnsi="宋体" w:eastAsia="仿宋_GB2312"/>
          <w:b/>
          <w:kern w:val="0"/>
          <w:sz w:val="28"/>
          <w:szCs w:val="32"/>
        </w:rPr>
      </w:pPr>
      <w:r>
        <w:drawing>
          <wp:inline distT="0" distB="0" distL="114300" distR="114300">
            <wp:extent cx="5647690" cy="5168900"/>
            <wp:effectExtent l="0" t="0" r="1016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8"/>
                    <a:stretch>
                      <a:fillRect/>
                    </a:stretch>
                  </pic:blipFill>
                  <pic:spPr>
                    <a:xfrm>
                      <a:off x="0" y="0"/>
                      <a:ext cx="5647690" cy="5168900"/>
                    </a:xfrm>
                    <a:prstGeom prst="rect">
                      <a:avLst/>
                    </a:prstGeom>
                    <a:noFill/>
                    <a:ln w="9525">
                      <a:noFill/>
                    </a:ln>
                  </pic:spPr>
                </pic:pic>
              </a:graphicData>
            </a:graphic>
          </wp:inline>
        </w:drawing>
      </w:r>
      <w:r>
        <w:rPr>
          <w:rFonts w:hint="eastAsia" w:ascii="仿宋_GB2312" w:hAnsi="宋体" w:eastAsia="仿宋_GB2312"/>
          <w:b/>
          <w:kern w:val="0"/>
          <w:sz w:val="28"/>
          <w:szCs w:val="32"/>
        </w:rPr>
        <w:t>备注：无内容应公开空表并说明情况。</w:t>
      </w:r>
    </w:p>
    <w:p>
      <w:pPr>
        <w:widowControl/>
        <w:spacing w:beforeLines="50"/>
        <w:outlineLvl w:val="1"/>
        <w:rPr>
          <w:rFonts w:hint="eastAsia" w:ascii="仿宋_GB2312" w:hAnsi="宋体" w:eastAsia="仿宋_GB2312"/>
          <w:b/>
          <w:kern w:val="0"/>
          <w:sz w:val="32"/>
          <w:szCs w:val="32"/>
        </w:rPr>
      </w:pPr>
    </w:p>
    <w:p>
      <w:pPr>
        <w:widowControl/>
        <w:spacing w:beforeLines="50"/>
        <w:outlineLvl w:val="1"/>
        <w:rPr>
          <w:rFonts w:hint="eastAsia" w:ascii="仿宋_GB2312" w:hAnsi="宋体" w:eastAsia="仿宋_GB2312"/>
          <w:b/>
          <w:kern w:val="0"/>
          <w:sz w:val="32"/>
          <w:szCs w:val="32"/>
        </w:rPr>
      </w:pPr>
    </w:p>
    <w:p>
      <w:pPr>
        <w:widowControl/>
        <w:spacing w:beforeLines="50"/>
        <w:outlineLvl w:val="1"/>
        <w:rPr>
          <w:rFonts w:hint="eastAsia" w:ascii="仿宋_GB2312" w:hAnsi="宋体" w:eastAsia="仿宋_GB2312"/>
          <w:b/>
          <w:kern w:val="0"/>
          <w:sz w:val="32"/>
          <w:szCs w:val="32"/>
        </w:rPr>
      </w:pPr>
    </w:p>
    <w:p>
      <w:pPr>
        <w:widowControl/>
        <w:spacing w:beforeLines="50"/>
        <w:outlineLvl w:val="1"/>
        <w:rPr>
          <w:rFonts w:hint="eastAsia" w:ascii="仿宋_GB2312" w:hAnsi="宋体" w:eastAsia="仿宋_GB2312"/>
          <w:b/>
          <w:kern w:val="0"/>
          <w:sz w:val="32"/>
          <w:szCs w:val="32"/>
        </w:rPr>
      </w:pPr>
    </w:p>
    <w:p>
      <w:pPr>
        <w:widowControl/>
        <w:spacing w:beforeLines="50"/>
        <w:outlineLvl w:val="1"/>
        <w:rPr>
          <w:rFonts w:hint="eastAsia" w:ascii="仿宋_GB2312" w:hAnsi="宋体" w:eastAsia="仿宋_GB2312"/>
          <w:b/>
          <w:kern w:val="0"/>
          <w:sz w:val="32"/>
          <w:szCs w:val="32"/>
        </w:rPr>
      </w:pPr>
    </w:p>
    <w:p>
      <w:pPr>
        <w:widowControl/>
        <w:spacing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pPr>
        <w:widowControl/>
        <w:spacing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pPr>
        <w:widowControl/>
        <w:outlineLvl w:val="1"/>
        <w:rPr>
          <w:rFonts w:hint="eastAsia" w:ascii="仿宋_GB2312" w:hAnsi="宋体" w:eastAsia="仿宋_GB2312"/>
          <w:kern w:val="0"/>
          <w:sz w:val="24"/>
        </w:rPr>
      </w:pPr>
      <w:r>
        <w:rPr>
          <w:rFonts w:hint="eastAsia" w:ascii="仿宋_GB2312" w:hAnsi="宋体" w:eastAsia="仿宋_GB2312"/>
          <w:kern w:val="0"/>
          <w:sz w:val="24"/>
        </w:rPr>
        <w:t>编制部门：新疆财经大学                                        单位</w:t>
      </w:r>
      <w:r>
        <w:rPr>
          <w:rFonts w:hint="eastAsia" w:ascii="仿宋_GB2312" w:hAnsi="宋体" w:eastAsia="仿宋_GB2312"/>
          <w:kern w:val="0"/>
          <w:sz w:val="24"/>
          <w:lang w:eastAsia="zh-CN"/>
        </w:rPr>
        <w:t>：</w:t>
      </w:r>
      <w:r>
        <w:rPr>
          <w:rFonts w:hint="eastAsia" w:ascii="仿宋_GB2312" w:hAnsi="宋体" w:eastAsia="仿宋_GB2312"/>
          <w:kern w:val="0"/>
          <w:sz w:val="24"/>
        </w:rPr>
        <w:t>万元</w:t>
      </w:r>
    </w:p>
    <w:p>
      <w:pPr>
        <w:widowControl/>
        <w:spacing w:beforeLines="50"/>
        <w:outlineLvl w:val="1"/>
        <w:rPr>
          <w:rFonts w:hint="eastAsia" w:ascii="仿宋_GB2312" w:hAnsi="宋体" w:eastAsia="仿宋_GB2312"/>
          <w:kern w:val="0"/>
          <w:sz w:val="28"/>
          <w:szCs w:val="28"/>
        </w:rPr>
      </w:pPr>
      <w:r>
        <w:drawing>
          <wp:inline distT="0" distB="0" distL="114300" distR="114300">
            <wp:extent cx="5650865" cy="7464425"/>
            <wp:effectExtent l="0" t="0" r="6985" b="317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9"/>
                    <a:stretch>
                      <a:fillRect/>
                    </a:stretch>
                  </pic:blipFill>
                  <pic:spPr>
                    <a:xfrm>
                      <a:off x="0" y="0"/>
                      <a:ext cx="5650865" cy="7464425"/>
                    </a:xfrm>
                    <a:prstGeom prst="rect">
                      <a:avLst/>
                    </a:prstGeom>
                    <a:noFill/>
                    <a:ln w="9525">
                      <a:noFill/>
                    </a:ln>
                  </pic:spPr>
                </pic:pic>
              </a:graphicData>
            </a:graphic>
          </wp:inline>
        </w:drawing>
      </w:r>
    </w:p>
    <w:p>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pPr>
        <w:widowControl/>
        <w:jc w:val="left"/>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表五：</w:t>
      </w:r>
    </w:p>
    <w:p>
      <w:pPr>
        <w:widowControl/>
        <w:spacing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lang w:eastAsia="zh-CN"/>
        </w:rPr>
        <w:t>一般公共预算支出</w:t>
      </w:r>
      <w:r>
        <w:rPr>
          <w:rFonts w:hint="eastAsia" w:ascii="仿宋_GB2312" w:hAnsi="宋体" w:eastAsia="仿宋_GB2312"/>
          <w:b/>
          <w:kern w:val="0"/>
          <w:sz w:val="32"/>
          <w:szCs w:val="32"/>
        </w:rPr>
        <w:t>情况表</w:t>
      </w:r>
    </w:p>
    <w:p>
      <w:pPr>
        <w:widowControl/>
        <w:outlineLvl w:val="1"/>
        <w:rPr>
          <w:rFonts w:hint="eastAsia" w:ascii="仿宋_GB2312" w:hAnsi="宋体" w:eastAsia="仿宋_GB2312"/>
          <w:kern w:val="0"/>
          <w:sz w:val="24"/>
        </w:rPr>
      </w:pPr>
      <w:r>
        <w:rPr>
          <w:rFonts w:hint="eastAsia" w:ascii="仿宋_GB2312" w:hAnsi="宋体" w:eastAsia="仿宋_GB2312"/>
          <w:kern w:val="0"/>
          <w:sz w:val="24"/>
        </w:rPr>
        <w:t>编制部门：新疆财经大学                                        单位</w:t>
      </w:r>
      <w:r>
        <w:rPr>
          <w:rFonts w:hint="eastAsia" w:ascii="仿宋_GB2312" w:hAnsi="宋体" w:eastAsia="仿宋_GB2312"/>
          <w:kern w:val="0"/>
          <w:sz w:val="24"/>
          <w:lang w:eastAsia="zh-CN"/>
        </w:rPr>
        <w:t>：</w:t>
      </w:r>
      <w:r>
        <w:rPr>
          <w:rFonts w:hint="eastAsia" w:ascii="仿宋_GB2312" w:hAnsi="宋体" w:eastAsia="仿宋_GB2312"/>
          <w:kern w:val="0"/>
          <w:sz w:val="24"/>
        </w:rPr>
        <w:t>万元</w:t>
      </w:r>
    </w:p>
    <w:p>
      <w:pPr>
        <w:widowControl/>
        <w:outlineLvl w:val="1"/>
        <w:rPr>
          <w:rFonts w:ascii="仿宋_GB2312" w:hAnsi="宋体" w:eastAsia="仿宋_GB2312"/>
          <w:b/>
          <w:kern w:val="0"/>
          <w:sz w:val="28"/>
          <w:szCs w:val="32"/>
        </w:rPr>
      </w:pPr>
      <w:r>
        <w:drawing>
          <wp:inline distT="0" distB="0" distL="114300" distR="114300">
            <wp:extent cx="5643880" cy="5051425"/>
            <wp:effectExtent l="0" t="0" r="13970" b="1587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0"/>
                    <a:stretch>
                      <a:fillRect/>
                    </a:stretch>
                  </pic:blipFill>
                  <pic:spPr>
                    <a:xfrm>
                      <a:off x="0" y="0"/>
                      <a:ext cx="5643880" cy="5051425"/>
                    </a:xfrm>
                    <a:prstGeom prst="rect">
                      <a:avLst/>
                    </a:prstGeom>
                    <a:noFill/>
                    <a:ln w="9525">
                      <a:noFill/>
                    </a:ln>
                  </pic:spPr>
                </pic:pic>
              </a:graphicData>
            </a:graphic>
          </wp:inline>
        </w:drawing>
      </w:r>
      <w:r>
        <w:rPr>
          <w:rFonts w:hint="eastAsia" w:ascii="仿宋_GB2312" w:hAnsi="宋体" w:eastAsia="仿宋_GB2312"/>
          <w:b/>
          <w:kern w:val="0"/>
          <w:sz w:val="28"/>
          <w:szCs w:val="32"/>
        </w:rPr>
        <w:t>备注：无内容应公开空表并说明情况。</w:t>
      </w: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p>
    <w:p>
      <w:pPr>
        <w:widowControl/>
        <w:jc w:val="left"/>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表六：</w:t>
      </w:r>
    </w:p>
    <w:p>
      <w:pPr>
        <w:widowControl/>
        <w:spacing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lang w:eastAsia="zh-CN"/>
        </w:rPr>
        <w:t>一般公共预算基本支出</w:t>
      </w:r>
      <w:r>
        <w:rPr>
          <w:rFonts w:hint="eastAsia" w:ascii="仿宋_GB2312" w:hAnsi="宋体" w:eastAsia="仿宋_GB2312"/>
          <w:b/>
          <w:kern w:val="0"/>
          <w:sz w:val="32"/>
          <w:szCs w:val="32"/>
        </w:rPr>
        <w:t>情况表</w:t>
      </w:r>
    </w:p>
    <w:p>
      <w:pPr>
        <w:widowControl/>
        <w:outlineLvl w:val="1"/>
        <w:rPr>
          <w:rFonts w:hint="eastAsia" w:ascii="仿宋_GB2312" w:hAnsi="宋体" w:eastAsia="仿宋_GB2312"/>
          <w:kern w:val="0"/>
          <w:sz w:val="24"/>
        </w:rPr>
      </w:pPr>
      <w:r>
        <w:rPr>
          <w:rFonts w:hint="eastAsia" w:ascii="仿宋_GB2312" w:hAnsi="宋体" w:eastAsia="仿宋_GB2312"/>
          <w:kern w:val="0"/>
          <w:sz w:val="24"/>
        </w:rPr>
        <w:t>编制部门：新疆财经大学                                        单位</w:t>
      </w:r>
      <w:r>
        <w:rPr>
          <w:rFonts w:hint="eastAsia" w:ascii="仿宋_GB2312" w:hAnsi="宋体" w:eastAsia="仿宋_GB2312"/>
          <w:kern w:val="0"/>
          <w:sz w:val="24"/>
          <w:lang w:eastAsia="zh-CN"/>
        </w:rPr>
        <w:t>：</w:t>
      </w:r>
      <w:r>
        <w:rPr>
          <w:rFonts w:hint="eastAsia" w:ascii="仿宋_GB2312" w:hAnsi="宋体" w:eastAsia="仿宋_GB2312"/>
          <w:kern w:val="0"/>
          <w:sz w:val="24"/>
        </w:rPr>
        <w:t>万元</w:t>
      </w:r>
    </w:p>
    <w:p>
      <w:pPr>
        <w:widowControl/>
        <w:outlineLvl w:val="1"/>
        <w:rPr>
          <w:rFonts w:ascii="仿宋_GB2312" w:hAnsi="宋体" w:eastAsia="仿宋_GB2312"/>
          <w:b/>
          <w:kern w:val="0"/>
          <w:sz w:val="28"/>
          <w:szCs w:val="32"/>
        </w:rPr>
      </w:pPr>
      <w:r>
        <w:drawing>
          <wp:inline distT="0" distB="0" distL="114300" distR="114300">
            <wp:extent cx="5645150" cy="7663815"/>
            <wp:effectExtent l="0" t="0" r="12700" b="13335"/>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1"/>
                    <a:stretch>
                      <a:fillRect/>
                    </a:stretch>
                  </pic:blipFill>
                  <pic:spPr>
                    <a:xfrm>
                      <a:off x="0" y="0"/>
                      <a:ext cx="5645150" cy="7663815"/>
                    </a:xfrm>
                    <a:prstGeom prst="rect">
                      <a:avLst/>
                    </a:prstGeom>
                    <a:noFill/>
                    <a:ln w="9525">
                      <a:noFill/>
                    </a:ln>
                  </pic:spPr>
                </pic:pic>
              </a:graphicData>
            </a:graphic>
          </wp:inline>
        </w:drawing>
      </w:r>
      <w:r>
        <w:rPr>
          <w:rFonts w:hint="eastAsia" w:ascii="仿宋_GB2312" w:hAnsi="宋体" w:eastAsia="仿宋_GB2312"/>
          <w:b/>
          <w:kern w:val="0"/>
          <w:sz w:val="28"/>
          <w:szCs w:val="32"/>
        </w:rPr>
        <w:t>备注：无内容应公开空表并说明情况。</w:t>
      </w:r>
    </w:p>
    <w:p>
      <w:pPr>
        <w:widowControl/>
        <w:jc w:val="left"/>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表七：</w:t>
      </w:r>
    </w:p>
    <w:p>
      <w:pPr>
        <w:widowControl/>
        <w:jc w:val="center"/>
        <w:outlineLvl w:val="1"/>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p>
      <w:pPr>
        <w:widowControl/>
        <w:outlineLvl w:val="1"/>
        <w:rPr>
          <w:rFonts w:hint="eastAsia" w:ascii="仿宋_GB2312" w:hAnsi="宋体" w:eastAsia="仿宋_GB2312"/>
          <w:kern w:val="0"/>
          <w:sz w:val="24"/>
        </w:rPr>
      </w:pPr>
      <w:r>
        <w:rPr>
          <w:rFonts w:hint="eastAsia" w:ascii="仿宋_GB2312" w:hAnsi="宋体" w:eastAsia="仿宋_GB2312"/>
          <w:kern w:val="0"/>
          <w:sz w:val="24"/>
        </w:rPr>
        <w:t>编制部门：新疆财经大学                                        单位</w:t>
      </w:r>
      <w:r>
        <w:rPr>
          <w:rFonts w:hint="eastAsia" w:ascii="仿宋_GB2312" w:hAnsi="宋体" w:eastAsia="仿宋_GB2312"/>
          <w:kern w:val="0"/>
          <w:sz w:val="24"/>
          <w:lang w:eastAsia="zh-CN"/>
        </w:rPr>
        <w:t>：</w:t>
      </w:r>
      <w:r>
        <w:rPr>
          <w:rFonts w:hint="eastAsia" w:ascii="仿宋_GB2312" w:hAnsi="宋体" w:eastAsia="仿宋_GB2312"/>
          <w:kern w:val="0"/>
          <w:sz w:val="24"/>
        </w:rPr>
        <w:t>万元</w:t>
      </w:r>
    </w:p>
    <w:p>
      <w:pPr>
        <w:widowControl/>
        <w:outlineLvl w:val="1"/>
        <w:rPr>
          <w:rFonts w:ascii="仿宋_GB2312" w:hAnsi="宋体" w:eastAsia="仿宋_GB2312"/>
          <w:b/>
          <w:kern w:val="0"/>
          <w:sz w:val="28"/>
          <w:szCs w:val="32"/>
        </w:rPr>
      </w:pPr>
      <w:r>
        <w:drawing>
          <wp:inline distT="0" distB="0" distL="114300" distR="114300">
            <wp:extent cx="5647690" cy="7574915"/>
            <wp:effectExtent l="0" t="0" r="10160" b="6985"/>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pic:cNvPicPr>
                  </pic:nvPicPr>
                  <pic:blipFill>
                    <a:blip r:embed="rId12"/>
                    <a:stretch>
                      <a:fillRect/>
                    </a:stretch>
                  </pic:blipFill>
                  <pic:spPr>
                    <a:xfrm>
                      <a:off x="0" y="0"/>
                      <a:ext cx="5647690" cy="7574915"/>
                    </a:xfrm>
                    <a:prstGeom prst="rect">
                      <a:avLst/>
                    </a:prstGeom>
                    <a:noFill/>
                    <a:ln w="9525">
                      <a:noFill/>
                    </a:ln>
                  </pic:spPr>
                </pic:pic>
              </a:graphicData>
            </a:graphic>
          </wp:inline>
        </w:drawing>
      </w:r>
      <w:r>
        <w:rPr>
          <w:rFonts w:hint="eastAsia" w:ascii="仿宋_GB2312" w:hAnsi="宋体" w:eastAsia="仿宋_GB2312"/>
          <w:b/>
          <w:kern w:val="0"/>
          <w:sz w:val="28"/>
          <w:szCs w:val="32"/>
        </w:rPr>
        <w:t>备注：无内容应公开空表并说明情况。</w:t>
      </w: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pPr>
        <w:widowControl/>
        <w:jc w:val="center"/>
        <w:outlineLvl w:val="1"/>
        <w:rPr>
          <w:rFonts w:hint="eastAsia"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pPr>
        <w:widowControl/>
        <w:outlineLvl w:val="1"/>
        <w:rPr>
          <w:rFonts w:hint="eastAsia" w:ascii="仿宋_GB2312" w:hAnsi="宋体" w:eastAsia="仿宋_GB2312"/>
          <w:b/>
          <w:kern w:val="0"/>
          <w:sz w:val="32"/>
          <w:szCs w:val="32"/>
        </w:rPr>
      </w:pPr>
      <w:r>
        <w:rPr>
          <w:rFonts w:hint="eastAsia" w:ascii="仿宋_GB2312" w:hAnsi="宋体" w:eastAsia="仿宋_GB2312"/>
          <w:kern w:val="0"/>
          <w:sz w:val="24"/>
        </w:rPr>
        <w:t>编制部门：新疆财经大学                                        单位</w:t>
      </w:r>
      <w:r>
        <w:rPr>
          <w:rFonts w:hint="eastAsia" w:ascii="仿宋_GB2312" w:hAnsi="宋体" w:eastAsia="仿宋_GB2312"/>
          <w:kern w:val="0"/>
          <w:sz w:val="24"/>
          <w:lang w:eastAsia="zh-CN"/>
        </w:rPr>
        <w:t>：</w:t>
      </w:r>
      <w:r>
        <w:rPr>
          <w:rFonts w:hint="eastAsia" w:ascii="仿宋_GB2312" w:hAnsi="宋体" w:eastAsia="仿宋_GB2312"/>
          <w:kern w:val="0"/>
          <w:sz w:val="24"/>
        </w:rPr>
        <w:t>万元</w:t>
      </w:r>
    </w:p>
    <w:tbl>
      <w:tblPr>
        <w:tblStyle w:val="6"/>
        <w:tblW w:w="9087" w:type="dxa"/>
        <w:tblInd w:w="93" w:type="dxa"/>
        <w:tblLayout w:type="fixed"/>
        <w:tblCellMar>
          <w:top w:w="0" w:type="dxa"/>
          <w:left w:w="108" w:type="dxa"/>
          <w:bottom w:w="0" w:type="dxa"/>
          <w:right w:w="108" w:type="dxa"/>
        </w:tblCellMar>
      </w:tblPr>
      <w:tblGrid>
        <w:gridCol w:w="1575"/>
        <w:gridCol w:w="1417"/>
        <w:gridCol w:w="1559"/>
        <w:gridCol w:w="1418"/>
        <w:gridCol w:w="1559"/>
        <w:gridCol w:w="1559"/>
      </w:tblGrid>
      <w:tr>
        <w:tblPrEx>
          <w:tblLayout w:type="fixed"/>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tblPrEx>
          <w:tblLayout w:type="fixed"/>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p>
        </w:tc>
      </w:tr>
      <w:tr>
        <w:tblPrEx>
          <w:tblLayout w:type="fixed"/>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tabs>
                <w:tab w:val="center" w:pos="679"/>
              </w:tabs>
              <w:jc w:val="left"/>
              <w:rPr>
                <w:rFonts w:hint="eastAsia" w:ascii="宋体" w:hAnsi="宋体" w:eastAsia="宋体" w:cs="宋体"/>
                <w:color w:val="000000"/>
                <w:kern w:val="0"/>
                <w:sz w:val="24"/>
                <w:lang w:eastAsia="zh-CN"/>
              </w:rPr>
            </w:pPr>
            <w:r>
              <w:rPr>
                <w:rFonts w:hint="eastAsia" w:ascii="宋体" w:hAnsi="宋体" w:cs="宋体"/>
                <w:color w:val="000000"/>
                <w:kern w:val="0"/>
                <w:sz w:val="24"/>
              </w:rPr>
              <w:t>　</w:t>
            </w:r>
            <w:r>
              <w:rPr>
                <w:rFonts w:hint="eastAsia" w:ascii="宋体" w:hAnsi="宋体" w:cs="宋体"/>
                <w:color w:val="000000"/>
                <w:kern w:val="0"/>
                <w:sz w:val="24"/>
                <w:lang w:eastAsia="zh-CN"/>
              </w:rPr>
              <w:tab/>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bl>
    <w:p>
      <w:pPr>
        <w:widowControl/>
        <w:outlineLvl w:val="1"/>
        <w:rPr>
          <w:rFonts w:ascii="仿宋_GB2312" w:hAnsi="宋体" w:eastAsia="仿宋_GB2312"/>
          <w:b/>
          <w:kern w:val="0"/>
          <w:sz w:val="32"/>
          <w:szCs w:val="32"/>
        </w:rPr>
      </w:pPr>
      <w:r>
        <w:rPr>
          <w:rFonts w:hint="eastAsia" w:ascii="仿宋_GB2312" w:hAnsi="宋体" w:eastAsia="仿宋_GB2312"/>
          <w:b/>
          <w:kern w:val="0"/>
          <w:sz w:val="28"/>
          <w:szCs w:val="32"/>
        </w:rPr>
        <w:t>备注：无内容应公开空表并说明情况。</w:t>
      </w: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outlineLvl w:val="1"/>
        <w:rPr>
          <w:rFonts w:ascii="仿宋_GB2312" w:hAnsi="宋体" w:eastAsia="仿宋_GB2312"/>
          <w:kern w:val="0"/>
          <w:sz w:val="32"/>
          <w:szCs w:val="32"/>
        </w:rPr>
      </w:pPr>
    </w:p>
    <w:p>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表九：</w:t>
      </w:r>
    </w:p>
    <w:p>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pPr>
        <w:widowControl/>
        <w:outlineLvl w:val="1"/>
        <w:rPr>
          <w:rFonts w:ascii="仿宋_GB2312" w:hAnsi="宋体" w:eastAsia="仿宋_GB2312"/>
          <w:kern w:val="0"/>
          <w:sz w:val="24"/>
        </w:rPr>
      </w:pPr>
      <w:r>
        <w:rPr>
          <w:rFonts w:hint="eastAsia" w:ascii="仿宋_GB2312" w:hAnsi="宋体" w:eastAsia="仿宋_GB2312"/>
          <w:kern w:val="0"/>
          <w:sz w:val="24"/>
        </w:rPr>
        <w:t>编制单位：</w:t>
      </w:r>
      <w:r>
        <w:rPr>
          <w:rFonts w:hint="eastAsia" w:ascii="仿宋_GB2312" w:hAnsi="宋体" w:eastAsia="仿宋_GB2312"/>
          <w:kern w:val="0"/>
          <w:sz w:val="24"/>
          <w:lang w:eastAsia="zh-CN"/>
        </w:rPr>
        <w:t>新疆财经大学</w:t>
      </w:r>
      <w:r>
        <w:rPr>
          <w:rFonts w:hint="eastAsia" w:ascii="仿宋_GB2312" w:hAnsi="宋体" w:eastAsia="仿宋_GB2312"/>
          <w:kern w:val="0"/>
          <w:sz w:val="24"/>
        </w:rPr>
        <w:t xml:space="preserve">                                        单位：万元</w:t>
      </w:r>
    </w:p>
    <w:tbl>
      <w:tblPr>
        <w:tblStyle w:val="6"/>
        <w:tblW w:w="9087" w:type="dxa"/>
        <w:tblInd w:w="93" w:type="dxa"/>
        <w:tblLayout w:type="fixed"/>
        <w:tblCellMar>
          <w:top w:w="0" w:type="dxa"/>
          <w:left w:w="108" w:type="dxa"/>
          <w:bottom w:w="0" w:type="dxa"/>
          <w:right w:w="108" w:type="dxa"/>
        </w:tblCellMar>
      </w:tblPr>
      <w:tblGrid>
        <w:gridCol w:w="458"/>
        <w:gridCol w:w="457"/>
        <w:gridCol w:w="457"/>
        <w:gridCol w:w="2896"/>
        <w:gridCol w:w="1559"/>
        <w:gridCol w:w="1701"/>
        <w:gridCol w:w="1559"/>
      </w:tblGrid>
      <w:tr>
        <w:tblPrEx>
          <w:tblLayout w:type="fixed"/>
          <w:tblCellMar>
            <w:top w:w="0" w:type="dxa"/>
            <w:left w:w="108" w:type="dxa"/>
            <w:bottom w:w="0" w:type="dxa"/>
            <w:right w:w="108" w:type="dxa"/>
          </w:tblCellMar>
        </w:tblPrEx>
        <w:trPr>
          <w:trHeight w:val="465" w:hRule="atLeast"/>
        </w:trPr>
        <w:tc>
          <w:tcPr>
            <w:tcW w:w="4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tblPrEx>
          <w:tblLayout w:type="fixed"/>
          <w:tblCellMar>
            <w:top w:w="0" w:type="dxa"/>
            <w:left w:w="108" w:type="dxa"/>
            <w:bottom w:w="0" w:type="dxa"/>
            <w:right w:w="108" w:type="dxa"/>
          </w:tblCellMar>
        </w:tblPrEx>
        <w:trPr>
          <w:trHeight w:val="360" w:hRule="atLeast"/>
        </w:trPr>
        <w:tc>
          <w:tcPr>
            <w:tcW w:w="13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tblPrEx>
          <w:tblLayout w:type="fixed"/>
          <w:tblCellMar>
            <w:top w:w="0" w:type="dxa"/>
            <w:left w:w="108" w:type="dxa"/>
            <w:bottom w:w="0" w:type="dxa"/>
            <w:right w:w="108" w:type="dxa"/>
          </w:tblCellMar>
        </w:tblPrEx>
        <w:trPr>
          <w:trHeight w:val="315"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b/>
                <w:bCs/>
                <w:color w:val="000000"/>
                <w:kern w:val="0"/>
                <w:sz w:val="24"/>
              </w:rPr>
            </w:pPr>
          </w:p>
        </w:tc>
      </w:tr>
      <w:tr>
        <w:tblPrEx>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tblPrEx>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r>
        <w:tblPrEx>
          <w:tblLayout w:type="fixed"/>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pPr>
        <w:widowControl/>
        <w:outlineLvl w:val="1"/>
        <w:sectPr>
          <w:footerReference r:id="rId4" w:type="default"/>
          <w:pgSz w:w="11906" w:h="16838"/>
          <w:pgMar w:top="1134" w:right="1644" w:bottom="794" w:left="1644" w:header="851" w:footer="992" w:gutter="0"/>
          <w:pgNumType w:fmt="decimal" w:start="1"/>
          <w:cols w:space="425" w:num="1"/>
          <w:docGrid w:type="lines" w:linePitch="312" w:charSpace="0"/>
        </w:sectPr>
      </w:pPr>
      <w:r>
        <w:rPr>
          <w:rFonts w:hint="eastAsia" w:ascii="仿宋_GB2312" w:hAnsi="宋体" w:eastAsia="仿宋_GB2312"/>
          <w:b/>
          <w:kern w:val="0"/>
          <w:sz w:val="28"/>
          <w:szCs w:val="32"/>
        </w:rPr>
        <w:t>备注：无内容应公开空表并说明情况</w:t>
      </w:r>
    </w:p>
    <w:p>
      <w:pPr>
        <w:numPr>
          <w:ilvl w:val="0"/>
          <w:numId w:val="1"/>
        </w:numPr>
        <w:ind w:left="0" w:leftChars="0" w:firstLine="0" w:firstLineChars="0"/>
        <w:jc w:val="center"/>
        <w:rPr>
          <w:rFonts w:ascii="黑体" w:hAnsi="黑体" w:eastAsia="黑体"/>
          <w:sz w:val="32"/>
          <w:szCs w:val="32"/>
        </w:rPr>
      </w:pPr>
      <w:r>
        <w:rPr>
          <w:rFonts w:hint="eastAsia" w:ascii="黑体" w:hAnsi="黑体" w:eastAsia="黑体" w:cs="黑体"/>
          <w:b w:val="0"/>
          <w:bCs/>
          <w:sz w:val="32"/>
          <w:szCs w:val="32"/>
        </w:rPr>
        <w:t>201</w:t>
      </w: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rPr>
        <w:t>年部门预算情况说明</w:t>
      </w:r>
    </w:p>
    <w:p>
      <w:pPr>
        <w:numPr>
          <w:ilvl w:val="0"/>
          <w:numId w:val="0"/>
        </w:numPr>
        <w:ind w:leftChars="0" w:firstLine="640" w:firstLineChars="200"/>
        <w:jc w:val="both"/>
        <w:rPr>
          <w:rFonts w:ascii="黑体" w:hAnsi="黑体" w:eastAsia="黑体"/>
          <w:sz w:val="32"/>
          <w:szCs w:val="32"/>
        </w:rPr>
      </w:pPr>
      <w:r>
        <w:rPr>
          <w:rFonts w:hint="eastAsia" w:ascii="黑体" w:hAnsi="黑体" w:eastAsia="黑体"/>
          <w:sz w:val="32"/>
          <w:szCs w:val="32"/>
        </w:rPr>
        <w:t>一、关于新疆财经大学201</w:t>
      </w:r>
      <w:r>
        <w:rPr>
          <w:rFonts w:hint="eastAsia" w:ascii="黑体" w:hAnsi="黑体" w:eastAsia="黑体"/>
          <w:sz w:val="32"/>
          <w:szCs w:val="32"/>
          <w:lang w:val="en-US" w:eastAsia="zh-CN"/>
        </w:rPr>
        <w:t>9</w:t>
      </w:r>
      <w:r>
        <w:rPr>
          <w:rFonts w:hint="eastAsia" w:ascii="黑体" w:hAnsi="黑体" w:eastAsia="黑体"/>
          <w:sz w:val="32"/>
          <w:szCs w:val="32"/>
          <w:lang w:eastAsia="zh-CN"/>
        </w:rPr>
        <w:t>年</w:t>
      </w:r>
      <w:r>
        <w:rPr>
          <w:rFonts w:hint="eastAsia" w:ascii="黑体" w:hAnsi="黑体" w:eastAsia="黑体"/>
          <w:sz w:val="32"/>
          <w:szCs w:val="32"/>
        </w:rPr>
        <w:t>收支预算</w:t>
      </w:r>
      <w:r>
        <w:rPr>
          <w:rFonts w:hint="eastAsia" w:ascii="黑体" w:hAnsi="黑体" w:eastAsia="黑体"/>
          <w:sz w:val="32"/>
          <w:szCs w:val="32"/>
          <w:lang w:eastAsia="zh-CN"/>
        </w:rPr>
        <w:t>情况</w:t>
      </w:r>
      <w:r>
        <w:rPr>
          <w:rFonts w:hint="eastAsia" w:ascii="黑体" w:hAnsi="黑体" w:eastAsia="黑体"/>
          <w:sz w:val="32"/>
          <w:szCs w:val="32"/>
        </w:rPr>
        <w:t>的总体说明</w:t>
      </w:r>
    </w:p>
    <w:p>
      <w:pPr>
        <w:spacing w:line="440" w:lineRule="exact"/>
        <w:rPr>
          <w:rFonts w:hint="eastAsia" w:ascii="仿宋_GB2312" w:hAnsi="仿宋_GB2312" w:eastAsia="仿宋_GB2312" w:cs="仿宋_GB2312"/>
          <w:sz w:val="32"/>
          <w:szCs w:val="32"/>
        </w:rPr>
      </w:pPr>
      <w:r>
        <w:rPr>
          <w:rFonts w:hint="eastAsia" w:asciiTheme="minorEastAsia" w:hAnsiTheme="minorEastAsia"/>
          <w:sz w:val="28"/>
          <w:szCs w:val="28"/>
        </w:rPr>
        <w:t xml:space="preserve">    </w:t>
      </w:r>
      <w:r>
        <w:rPr>
          <w:rFonts w:hint="eastAsia" w:ascii="仿宋_GB2312" w:hAnsi="仿宋_GB2312" w:eastAsia="仿宋_GB2312" w:cs="仿宋_GB2312"/>
          <w:sz w:val="32"/>
          <w:szCs w:val="32"/>
        </w:rPr>
        <w:t>按照全口径预算的原则，新疆财经大学201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年所有收入和支出均纳入部门预算管理。收支总预算</w:t>
      </w:r>
      <w:r>
        <w:rPr>
          <w:rFonts w:hint="eastAsia" w:ascii="仿宋_GB2312" w:hAnsi="仿宋_GB2312" w:eastAsia="仿宋_GB2312" w:cs="仿宋_GB2312"/>
          <w:sz w:val="32"/>
          <w:szCs w:val="32"/>
          <w:lang w:val="en-US" w:eastAsia="zh-CN"/>
        </w:rPr>
        <w:t>37390.63</w:t>
      </w:r>
      <w:r>
        <w:rPr>
          <w:rFonts w:hint="eastAsia" w:ascii="仿宋_GB2312" w:hAnsi="仿宋_GB2312" w:eastAsia="仿宋_GB2312" w:cs="仿宋_GB2312"/>
          <w:sz w:val="32"/>
          <w:szCs w:val="32"/>
        </w:rPr>
        <w:t>万元。</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收入预算包括：一般公共预算、教育收费（财政专户）、事业收入、其他收入、单位上年结余（不包括国库集中支付额度结余）。</w:t>
      </w:r>
    </w:p>
    <w:p>
      <w:pPr>
        <w:spacing w:line="440" w:lineRule="exact"/>
        <w:ind w:firstLine="640" w:firstLineChars="200"/>
        <w:rPr>
          <w:rFonts w:asciiTheme="minorEastAsia" w:hAnsiTheme="minorEastAsia"/>
          <w:sz w:val="28"/>
          <w:szCs w:val="28"/>
        </w:rPr>
      </w:pPr>
      <w:r>
        <w:rPr>
          <w:rFonts w:hint="eastAsia" w:ascii="仿宋_GB2312" w:hAnsi="仿宋_GB2312" w:eastAsia="仿宋_GB2312" w:cs="仿宋_GB2312"/>
          <w:sz w:val="32"/>
          <w:szCs w:val="32"/>
        </w:rPr>
        <w:t>支出预算包括：教育支出、社会保障和就业支出</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w:t>
      </w:r>
    </w:p>
    <w:p>
      <w:pPr>
        <w:spacing w:beforeLines="50" w:afterLines="50" w:line="440" w:lineRule="exact"/>
        <w:ind w:firstLine="640" w:firstLineChars="200"/>
        <w:rPr>
          <w:rFonts w:ascii="黑体" w:hAnsi="黑体" w:eastAsia="黑体"/>
          <w:sz w:val="32"/>
          <w:szCs w:val="32"/>
        </w:rPr>
      </w:pPr>
      <w:r>
        <w:rPr>
          <w:rFonts w:hint="eastAsia" w:ascii="黑体" w:hAnsi="黑体" w:eastAsia="黑体"/>
          <w:sz w:val="32"/>
          <w:szCs w:val="32"/>
        </w:rPr>
        <w:t>二、关于新疆财经大学201</w:t>
      </w:r>
      <w:r>
        <w:rPr>
          <w:rFonts w:hint="eastAsia" w:ascii="黑体" w:hAnsi="黑体" w:eastAsia="黑体"/>
          <w:sz w:val="32"/>
          <w:szCs w:val="32"/>
          <w:lang w:val="en-US" w:eastAsia="zh-CN"/>
        </w:rPr>
        <w:t>9</w:t>
      </w:r>
      <w:r>
        <w:rPr>
          <w:rFonts w:hint="eastAsia" w:ascii="黑体" w:hAnsi="黑体" w:eastAsia="黑体"/>
          <w:sz w:val="32"/>
          <w:szCs w:val="32"/>
        </w:rPr>
        <w:t>年收入预算情况说明</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新疆财经大学收入预算</w:t>
      </w:r>
      <w:r>
        <w:rPr>
          <w:rFonts w:hint="eastAsia" w:ascii="仿宋_GB2312" w:hAnsi="仿宋_GB2312" w:eastAsia="仿宋_GB2312" w:cs="仿宋_GB2312"/>
          <w:sz w:val="32"/>
          <w:szCs w:val="32"/>
          <w:lang w:val="en-US" w:eastAsia="zh-CN"/>
        </w:rPr>
        <w:t>37390.63</w:t>
      </w:r>
      <w:r>
        <w:rPr>
          <w:rFonts w:hint="eastAsia" w:ascii="仿宋_GB2312" w:hAnsi="仿宋_GB2312" w:eastAsia="仿宋_GB2312" w:cs="仿宋_GB2312"/>
          <w:sz w:val="32"/>
          <w:szCs w:val="32"/>
        </w:rPr>
        <w:t>万元，其中：</w:t>
      </w:r>
    </w:p>
    <w:p>
      <w:pPr>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一般公共预算</w:t>
      </w:r>
      <w:r>
        <w:rPr>
          <w:rFonts w:hint="eastAsia" w:ascii="仿宋_GB2312" w:hAnsi="仿宋_GB2312" w:eastAsia="仿宋_GB2312" w:cs="仿宋_GB2312"/>
          <w:sz w:val="32"/>
          <w:szCs w:val="32"/>
          <w:lang w:val="en-US" w:eastAsia="zh-CN"/>
        </w:rPr>
        <w:t>19858.93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53.12</w:t>
      </w:r>
      <w:r>
        <w:rPr>
          <w:rFonts w:hint="eastAsia" w:ascii="仿宋_GB2312" w:hAnsi="仿宋_GB2312" w:eastAsia="仿宋_GB2312" w:cs="仿宋_GB2312"/>
          <w:sz w:val="32"/>
          <w:szCs w:val="32"/>
        </w:rPr>
        <w:t>%，比上年增加</w:t>
      </w:r>
      <w:r>
        <w:rPr>
          <w:rFonts w:hint="eastAsia" w:ascii="仿宋_GB2312" w:hAnsi="仿宋_GB2312" w:eastAsia="仿宋_GB2312" w:cs="仿宋_GB2312"/>
          <w:sz w:val="32"/>
          <w:szCs w:val="32"/>
          <w:lang w:val="en-US" w:eastAsia="zh-CN"/>
        </w:rPr>
        <w:t>3885.93</w:t>
      </w:r>
      <w:r>
        <w:rPr>
          <w:rFonts w:hint="eastAsia" w:ascii="仿宋_GB2312" w:hAnsi="仿宋_GB2312" w:eastAsia="仿宋_GB2312" w:cs="仿宋_GB2312"/>
          <w:sz w:val="32"/>
          <w:szCs w:val="32"/>
        </w:rPr>
        <w:t>万元，主要原因是生均拨款数</w:t>
      </w:r>
      <w:r>
        <w:rPr>
          <w:rFonts w:hint="eastAsia" w:ascii="仿宋_GB2312" w:hAnsi="仿宋_GB2312" w:eastAsia="仿宋_GB2312" w:cs="仿宋_GB2312"/>
          <w:sz w:val="32"/>
          <w:szCs w:val="32"/>
          <w:lang w:eastAsia="zh-CN"/>
        </w:rPr>
        <w:t>和专项拨款增加。</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财政专户管理资金</w:t>
      </w:r>
      <w:r>
        <w:rPr>
          <w:rFonts w:hint="eastAsia" w:ascii="仿宋_GB2312" w:hAnsi="仿宋_GB2312" w:eastAsia="仿宋_GB2312" w:cs="仿宋_GB2312"/>
          <w:sz w:val="32"/>
          <w:szCs w:val="32"/>
          <w:lang w:val="en-US" w:eastAsia="zh-CN"/>
        </w:rPr>
        <w:t>12863.57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34.4</w:t>
      </w:r>
      <w:r>
        <w:rPr>
          <w:rFonts w:hint="eastAsia" w:ascii="仿宋_GB2312" w:hAnsi="仿宋_GB2312" w:eastAsia="仿宋_GB2312" w:cs="仿宋_GB2312"/>
          <w:sz w:val="32"/>
          <w:szCs w:val="32"/>
        </w:rPr>
        <w:t>%，比上年增加</w:t>
      </w:r>
      <w:r>
        <w:rPr>
          <w:rFonts w:hint="eastAsia" w:ascii="仿宋_GB2312" w:hAnsi="仿宋_GB2312" w:eastAsia="仿宋_GB2312" w:cs="仿宋_GB2312"/>
          <w:sz w:val="32"/>
          <w:szCs w:val="32"/>
          <w:lang w:val="en-US" w:eastAsia="zh-CN"/>
        </w:rPr>
        <w:t>2634.05</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动用财政专户的上年结转数。</w:t>
      </w:r>
    </w:p>
    <w:p>
      <w:pPr>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1054.61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2.82</w:t>
      </w:r>
      <w:r>
        <w:rPr>
          <w:rFonts w:hint="eastAsia" w:ascii="仿宋_GB2312" w:hAnsi="仿宋_GB2312" w:eastAsia="仿宋_GB2312" w:cs="仿宋_GB2312"/>
          <w:sz w:val="32"/>
          <w:szCs w:val="32"/>
        </w:rPr>
        <w:t>%，比上年减少</w:t>
      </w:r>
      <w:r>
        <w:rPr>
          <w:rFonts w:hint="eastAsia" w:ascii="仿宋_GB2312" w:hAnsi="仿宋_GB2312" w:eastAsia="仿宋_GB2312" w:cs="仿宋_GB2312"/>
          <w:sz w:val="32"/>
          <w:szCs w:val="32"/>
          <w:lang w:val="en-US" w:eastAsia="zh-CN"/>
        </w:rPr>
        <w:t>151.39</w:t>
      </w:r>
      <w:r>
        <w:rPr>
          <w:rFonts w:hint="eastAsia" w:ascii="仿宋_GB2312" w:hAnsi="仿宋_GB2312" w:eastAsia="仿宋_GB2312" w:cs="仿宋_GB2312"/>
          <w:sz w:val="32"/>
          <w:szCs w:val="32"/>
        </w:rPr>
        <w:t>万元，主要原因是商务学院乌鲁木齐校区停止招生</w:t>
      </w:r>
      <w:r>
        <w:rPr>
          <w:rFonts w:hint="eastAsia" w:ascii="仿宋_GB2312" w:hAnsi="仿宋_GB2312" w:eastAsia="仿宋_GB2312" w:cs="仿宋_GB2312"/>
          <w:sz w:val="32"/>
          <w:szCs w:val="32"/>
          <w:lang w:eastAsia="zh-CN"/>
        </w:rPr>
        <w:t>，在校人数减少，学费及住宿费收入减少；课题收入减少。</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1250</w:t>
      </w:r>
      <w:r>
        <w:rPr>
          <w:rFonts w:hint="eastAsia" w:ascii="仿宋_GB2312" w:hAnsi="仿宋_GB2312" w:eastAsia="仿宋_GB2312" w:cs="仿宋_GB2312"/>
          <w:sz w:val="32"/>
          <w:szCs w:val="32"/>
        </w:rPr>
        <w:t>万元，主要原因是课题收入</w:t>
      </w:r>
      <w:r>
        <w:rPr>
          <w:rFonts w:hint="eastAsia" w:ascii="仿宋_GB2312" w:hAnsi="仿宋_GB2312" w:eastAsia="仿宋_GB2312" w:cs="仿宋_GB2312"/>
          <w:sz w:val="32"/>
          <w:szCs w:val="32"/>
          <w:lang w:eastAsia="zh-CN"/>
        </w:rPr>
        <w:t>计入事业收入。</w:t>
      </w:r>
    </w:p>
    <w:p>
      <w:pPr>
        <w:spacing w:line="44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单位上年结余（不包括国库集中支付额度结余）</w:t>
      </w:r>
      <w:r>
        <w:rPr>
          <w:rFonts w:hint="eastAsia" w:ascii="仿宋_GB2312" w:hAnsi="仿宋_GB2312" w:eastAsia="仿宋_GB2312" w:cs="仿宋_GB2312"/>
          <w:sz w:val="32"/>
          <w:szCs w:val="32"/>
          <w:lang w:val="en-US" w:eastAsia="zh-CN"/>
        </w:rPr>
        <w:t>3563.52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9.53</w:t>
      </w:r>
      <w:r>
        <w:rPr>
          <w:rFonts w:hint="eastAsia" w:ascii="仿宋_GB2312" w:hAnsi="仿宋_GB2312" w:eastAsia="仿宋_GB2312" w:cs="仿宋_GB2312"/>
          <w:sz w:val="32"/>
          <w:szCs w:val="32"/>
        </w:rPr>
        <w:t>%，比上年减少</w:t>
      </w:r>
      <w:r>
        <w:rPr>
          <w:rFonts w:hint="eastAsia" w:ascii="仿宋_GB2312" w:hAnsi="仿宋_GB2312" w:eastAsia="仿宋_GB2312" w:cs="仿宋_GB2312"/>
          <w:sz w:val="32"/>
          <w:szCs w:val="32"/>
          <w:lang w:val="en-US" w:eastAsia="zh-CN"/>
        </w:rPr>
        <w:t>4531.81</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使用财政专户累计滚存结余</w:t>
      </w:r>
      <w:r>
        <w:rPr>
          <w:rFonts w:hint="eastAsia" w:ascii="仿宋_GB2312" w:hAnsi="仿宋_GB2312" w:eastAsia="仿宋_GB2312" w:cs="仿宋_GB2312"/>
          <w:sz w:val="32"/>
          <w:szCs w:val="32"/>
        </w:rPr>
        <w:t>。</w:t>
      </w:r>
    </w:p>
    <w:p>
      <w:pPr>
        <w:spacing w:beforeLines="50" w:afterLines="50" w:line="440" w:lineRule="exact"/>
        <w:ind w:firstLine="640" w:firstLineChars="200"/>
        <w:rPr>
          <w:rFonts w:ascii="黑体" w:hAnsi="黑体" w:eastAsia="黑体"/>
          <w:sz w:val="32"/>
          <w:szCs w:val="32"/>
        </w:rPr>
      </w:pPr>
      <w:r>
        <w:rPr>
          <w:rFonts w:hint="eastAsia" w:ascii="黑体" w:hAnsi="黑体" w:eastAsia="黑体"/>
          <w:sz w:val="32"/>
          <w:szCs w:val="32"/>
        </w:rPr>
        <w:t>三、关于新疆财经大学201</w:t>
      </w:r>
      <w:r>
        <w:rPr>
          <w:rFonts w:hint="eastAsia" w:ascii="黑体" w:hAnsi="黑体" w:eastAsia="黑体"/>
          <w:sz w:val="32"/>
          <w:szCs w:val="32"/>
          <w:lang w:val="en-US" w:eastAsia="zh-CN"/>
        </w:rPr>
        <w:t>9</w:t>
      </w:r>
      <w:r>
        <w:rPr>
          <w:rFonts w:hint="eastAsia" w:ascii="黑体" w:hAnsi="黑体" w:eastAsia="黑体"/>
          <w:sz w:val="32"/>
          <w:szCs w:val="32"/>
        </w:rPr>
        <w:t>年支出预算情况说明</w:t>
      </w:r>
    </w:p>
    <w:p>
      <w:pPr>
        <w:spacing w:line="44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新疆财经大学201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年支出预算</w:t>
      </w:r>
      <w:r>
        <w:rPr>
          <w:rFonts w:hint="eastAsia" w:ascii="仿宋_GB2312" w:hAnsi="仿宋_GB2312" w:eastAsia="仿宋_GB2312" w:cs="仿宋_GB2312"/>
          <w:sz w:val="32"/>
          <w:szCs w:val="32"/>
          <w:lang w:val="en-US" w:eastAsia="zh-CN"/>
        </w:rPr>
        <w:t>37390.63</w:t>
      </w:r>
      <w:r>
        <w:rPr>
          <w:rFonts w:hint="eastAsia" w:ascii="仿宋_GB2312" w:hAnsi="仿宋_GB2312" w:eastAsia="仿宋_GB2312" w:cs="仿宋_GB2312"/>
          <w:sz w:val="32"/>
          <w:szCs w:val="32"/>
        </w:rPr>
        <w:t>万元，其中：</w:t>
      </w:r>
    </w:p>
    <w:p>
      <w:pPr>
        <w:spacing w:line="44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22992.98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61.49</w:t>
      </w:r>
      <w:r>
        <w:rPr>
          <w:rFonts w:hint="eastAsia" w:ascii="仿宋_GB2312" w:hAnsi="仿宋_GB2312" w:eastAsia="仿宋_GB2312" w:cs="仿宋_GB2312"/>
          <w:sz w:val="32"/>
          <w:szCs w:val="32"/>
        </w:rPr>
        <w:t>%，比上年增加</w:t>
      </w:r>
      <w:r>
        <w:rPr>
          <w:rFonts w:hint="eastAsia" w:ascii="仿宋_GB2312" w:hAnsi="仿宋_GB2312" w:eastAsia="仿宋_GB2312" w:cs="仿宋_GB2312"/>
          <w:sz w:val="32"/>
          <w:szCs w:val="32"/>
          <w:lang w:val="en-US" w:eastAsia="zh-CN"/>
        </w:rPr>
        <w:t>1837.66</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教育</w:t>
      </w:r>
      <w:r>
        <w:rPr>
          <w:rFonts w:hint="eastAsia" w:ascii="仿宋_GB2312" w:hAnsi="仿宋_GB2312" w:eastAsia="仿宋_GB2312" w:cs="仿宋_GB2312"/>
          <w:sz w:val="32"/>
          <w:szCs w:val="32"/>
        </w:rPr>
        <w:t>支出增加</w:t>
      </w:r>
      <w:r>
        <w:rPr>
          <w:rFonts w:hint="eastAsia" w:ascii="仿宋_GB2312" w:hAnsi="仿宋_GB2312" w:eastAsia="仿宋_GB2312" w:cs="仿宋_GB2312"/>
          <w:sz w:val="32"/>
          <w:szCs w:val="32"/>
          <w:lang w:val="en-US" w:eastAsia="zh-CN"/>
        </w:rPr>
        <w:t>1775.98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社会保障和就业支出增加</w:t>
      </w:r>
      <w:r>
        <w:rPr>
          <w:rFonts w:hint="eastAsia" w:ascii="仿宋_GB2312" w:hAnsi="仿宋_GB2312" w:eastAsia="仿宋_GB2312" w:cs="仿宋_GB2312"/>
          <w:sz w:val="32"/>
          <w:szCs w:val="32"/>
          <w:lang w:val="en-US" w:eastAsia="zh-CN"/>
        </w:rPr>
        <w:t>61.68</w:t>
      </w:r>
      <w:r>
        <w:rPr>
          <w:rFonts w:hint="eastAsia" w:ascii="仿宋_GB2312" w:hAnsi="仿宋_GB2312" w:eastAsia="仿宋_GB2312" w:cs="仿宋_GB2312"/>
          <w:sz w:val="32"/>
          <w:szCs w:val="32"/>
        </w:rPr>
        <w:t>万元。</w:t>
      </w:r>
    </w:p>
    <w:p>
      <w:pPr>
        <w:spacing w:line="440" w:lineRule="exact"/>
        <w:ind w:firstLine="5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14397.65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38.51</w:t>
      </w:r>
      <w:r>
        <w:rPr>
          <w:rFonts w:hint="eastAsia" w:ascii="仿宋_GB2312" w:hAnsi="仿宋_GB2312" w:eastAsia="仿宋_GB2312" w:cs="仿宋_GB2312"/>
          <w:sz w:val="32"/>
          <w:szCs w:val="32"/>
        </w:rPr>
        <w:t>%，比上年减少</w:t>
      </w:r>
      <w:r>
        <w:rPr>
          <w:rFonts w:hint="eastAsia" w:ascii="仿宋_GB2312" w:hAnsi="仿宋_GB2312" w:eastAsia="仿宋_GB2312" w:cs="仿宋_GB2312"/>
          <w:sz w:val="32"/>
          <w:szCs w:val="32"/>
          <w:lang w:val="en-US" w:eastAsia="zh-CN"/>
        </w:rPr>
        <w:t>1250.88</w:t>
      </w:r>
      <w:r>
        <w:rPr>
          <w:rFonts w:hint="eastAsia" w:ascii="仿宋_GB2312" w:hAnsi="仿宋_GB2312" w:eastAsia="仿宋_GB2312" w:cs="仿宋_GB2312"/>
          <w:sz w:val="32"/>
          <w:szCs w:val="32"/>
        </w:rPr>
        <w:t>万元，主要原因是</w:t>
      </w:r>
      <w:r>
        <w:rPr>
          <w:rFonts w:hint="eastAsia" w:ascii="仿宋_GB2312" w:hAnsi="仿宋_GB2312" w:eastAsia="仿宋_GB2312" w:cs="仿宋_GB2312"/>
          <w:sz w:val="32"/>
          <w:szCs w:val="32"/>
          <w:lang w:eastAsia="zh-CN"/>
        </w:rPr>
        <w:t>：教育支出减少</w:t>
      </w:r>
      <w:r>
        <w:rPr>
          <w:rFonts w:hint="eastAsia" w:ascii="仿宋_GB2312" w:hAnsi="仿宋_GB2312" w:eastAsia="仿宋_GB2312" w:cs="仿宋_GB2312"/>
          <w:sz w:val="32"/>
          <w:szCs w:val="32"/>
          <w:lang w:val="en-US" w:eastAsia="zh-CN"/>
        </w:rPr>
        <w:t>1382.88万元、卫生健康支出增加132万元。</w:t>
      </w:r>
    </w:p>
    <w:p>
      <w:pPr>
        <w:spacing w:beforeLines="50" w:afterLines="50" w:line="440" w:lineRule="exact"/>
        <w:ind w:firstLine="640" w:firstLineChars="200"/>
        <w:rPr>
          <w:rFonts w:ascii="黑体" w:hAnsi="黑体" w:eastAsia="黑体"/>
          <w:sz w:val="32"/>
          <w:szCs w:val="32"/>
        </w:rPr>
      </w:pPr>
      <w:r>
        <w:rPr>
          <w:rFonts w:hint="eastAsia" w:ascii="黑体" w:hAnsi="黑体" w:eastAsia="黑体"/>
          <w:sz w:val="32"/>
          <w:szCs w:val="32"/>
        </w:rPr>
        <w:t>四、关于新疆财经大学201</w:t>
      </w:r>
      <w:r>
        <w:rPr>
          <w:rFonts w:hint="eastAsia" w:ascii="黑体" w:hAnsi="黑体" w:eastAsia="黑体"/>
          <w:sz w:val="32"/>
          <w:szCs w:val="32"/>
          <w:lang w:val="en-US" w:eastAsia="zh-CN"/>
        </w:rPr>
        <w:t>9</w:t>
      </w:r>
      <w:r>
        <w:rPr>
          <w:rFonts w:hint="eastAsia" w:ascii="黑体" w:hAnsi="黑体" w:eastAsia="黑体"/>
          <w:sz w:val="32"/>
          <w:szCs w:val="32"/>
        </w:rPr>
        <w:t>年财政拨款收支预算情况的总体说明</w:t>
      </w:r>
    </w:p>
    <w:p>
      <w:pPr>
        <w:spacing w:line="44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19858.93</w:t>
      </w:r>
      <w:r>
        <w:rPr>
          <w:rFonts w:hint="eastAsia" w:ascii="仿宋_GB2312" w:hAnsi="仿宋_GB2312" w:eastAsia="仿宋_GB2312" w:cs="仿宋_GB2312"/>
          <w:sz w:val="32"/>
          <w:szCs w:val="32"/>
        </w:rPr>
        <w:t>万元</w:t>
      </w:r>
    </w:p>
    <w:p>
      <w:pPr>
        <w:spacing w:line="440" w:lineRule="exact"/>
        <w:ind w:firstLine="55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收入全部为一般公共预算拨款，无政府性基金预算拨款。</w:t>
      </w:r>
    </w:p>
    <w:p>
      <w:pPr>
        <w:spacing w:beforeLines="50" w:afterLines="50" w:line="440" w:lineRule="exact"/>
        <w:ind w:firstLine="640" w:firstLineChars="200"/>
        <w:rPr>
          <w:rFonts w:ascii="黑体" w:hAnsi="黑体" w:eastAsia="黑体"/>
          <w:sz w:val="32"/>
          <w:szCs w:val="32"/>
        </w:rPr>
      </w:pPr>
      <w:r>
        <w:rPr>
          <w:rFonts w:hint="eastAsia" w:ascii="黑体" w:hAnsi="黑体" w:eastAsia="黑体"/>
          <w:sz w:val="32"/>
          <w:szCs w:val="32"/>
        </w:rPr>
        <w:t>五、关于新疆财经大学201</w:t>
      </w:r>
      <w:r>
        <w:rPr>
          <w:rFonts w:hint="eastAsia" w:ascii="黑体" w:hAnsi="黑体" w:eastAsia="黑体"/>
          <w:sz w:val="32"/>
          <w:szCs w:val="32"/>
          <w:lang w:val="en-US" w:eastAsia="zh-CN"/>
        </w:rPr>
        <w:t>9</w:t>
      </w:r>
      <w:r>
        <w:rPr>
          <w:rFonts w:hint="eastAsia" w:ascii="黑体" w:hAnsi="黑体" w:eastAsia="黑体"/>
          <w:sz w:val="32"/>
          <w:szCs w:val="32"/>
        </w:rPr>
        <w:t>年一般公共预算当年拨款情况说明</w:t>
      </w:r>
    </w:p>
    <w:p>
      <w:pPr>
        <w:widowControl/>
        <w:spacing w:line="580" w:lineRule="exact"/>
        <w:ind w:firstLine="643" w:firstLineChars="20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pPr>
        <w:spacing w:line="440" w:lineRule="exact"/>
        <w:rPr>
          <w:rFonts w:hint="eastAsia" w:ascii="仿宋_GB2312" w:hAnsi="仿宋_GB2312" w:eastAsia="仿宋_GB2312" w:cs="仿宋_GB2312"/>
          <w:sz w:val="32"/>
          <w:szCs w:val="32"/>
        </w:rPr>
      </w:pPr>
      <w:r>
        <w:rPr>
          <w:rFonts w:hint="eastAsia" w:asciiTheme="minorEastAsia" w:hAnsiTheme="minorEastAsia"/>
          <w:sz w:val="28"/>
          <w:szCs w:val="28"/>
        </w:rPr>
        <w:t xml:space="preserve">    </w:t>
      </w:r>
      <w:r>
        <w:rPr>
          <w:rFonts w:hint="eastAsia" w:ascii="仿宋_GB2312" w:hAnsi="仿宋_GB2312" w:eastAsia="仿宋_GB2312" w:cs="仿宋_GB2312"/>
          <w:sz w:val="32"/>
          <w:szCs w:val="32"/>
        </w:rPr>
        <w:t>新疆财经大学201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年一般公共预算拨款基本支出</w:t>
      </w:r>
      <w:r>
        <w:rPr>
          <w:rFonts w:hint="eastAsia" w:ascii="仿宋_GB2312" w:hAnsi="仿宋_GB2312" w:eastAsia="仿宋_GB2312" w:cs="仿宋_GB2312"/>
          <w:sz w:val="32"/>
          <w:szCs w:val="32"/>
          <w:lang w:val="en-US" w:eastAsia="zh-CN"/>
        </w:rPr>
        <w:t>17594</w:t>
      </w:r>
      <w:r>
        <w:rPr>
          <w:rFonts w:hint="eastAsia" w:ascii="仿宋_GB2312" w:hAnsi="仿宋_GB2312" w:eastAsia="仿宋_GB2312" w:cs="仿宋_GB2312"/>
          <w:sz w:val="32"/>
          <w:szCs w:val="32"/>
        </w:rPr>
        <w:t>万元，比上年执行数增加</w:t>
      </w:r>
      <w:r>
        <w:rPr>
          <w:rFonts w:hint="eastAsia" w:ascii="仿宋_GB2312" w:hAnsi="仿宋_GB2312" w:eastAsia="仿宋_GB2312" w:cs="仿宋_GB2312"/>
          <w:sz w:val="32"/>
          <w:szCs w:val="32"/>
          <w:lang w:val="en-US" w:eastAsia="zh-CN"/>
        </w:rPr>
        <w:t>1841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11.69</w:t>
      </w:r>
      <w:r>
        <w:rPr>
          <w:rFonts w:hint="eastAsia" w:ascii="仿宋_GB2312" w:hAnsi="仿宋_GB2312" w:eastAsia="仿宋_GB2312" w:cs="仿宋_GB2312"/>
          <w:sz w:val="32"/>
          <w:szCs w:val="32"/>
        </w:rPr>
        <w:t>%。主要原因是：生均拨款增加。</w:t>
      </w:r>
    </w:p>
    <w:p>
      <w:pPr>
        <w:widowControl/>
        <w:spacing w:line="58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1.教育支出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17232.75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86.78</w:t>
      </w:r>
      <w:r>
        <w:rPr>
          <w:rFonts w:hint="eastAsia" w:ascii="仿宋_GB2312" w:hAnsi="仿宋_GB2312" w:eastAsia="仿宋_GB2312" w:cs="仿宋_GB2312"/>
          <w:sz w:val="32"/>
          <w:szCs w:val="32"/>
        </w:rPr>
        <w:t>%。</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2494.18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12.56</w:t>
      </w:r>
      <w:r>
        <w:rPr>
          <w:rFonts w:hint="eastAsia" w:ascii="仿宋_GB2312" w:hAnsi="仿宋_GB2312" w:eastAsia="仿宋_GB2312" w:cs="仿宋_GB2312"/>
          <w:sz w:val="32"/>
          <w:szCs w:val="32"/>
        </w:rPr>
        <w:t>%。</w:t>
      </w:r>
    </w:p>
    <w:p>
      <w:pPr>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3.卫生健康支出（类）132万元，占0.66%。</w:t>
      </w:r>
    </w:p>
    <w:p>
      <w:pPr>
        <w:widowControl/>
        <w:spacing w:line="58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pPr>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1.教育支出</w:t>
      </w:r>
      <w:r>
        <w:rPr>
          <w:rFonts w:hint="eastAsia" w:ascii="仿宋_GB2312" w:hAnsi="仿宋_GB2312" w:eastAsia="仿宋_GB2312" w:cs="仿宋_GB2312"/>
          <w:color w:val="auto"/>
          <w:sz w:val="32"/>
          <w:szCs w:val="32"/>
          <w:lang w:val="en-US" w:eastAsia="zh-CN"/>
        </w:rPr>
        <w:t>(类)</w:t>
      </w:r>
      <w:r>
        <w:rPr>
          <w:rFonts w:hint="eastAsia" w:ascii="仿宋_GB2312" w:hAnsi="仿宋_GB2312" w:eastAsia="仿宋_GB2312" w:cs="仿宋_GB2312"/>
          <w:color w:val="auto"/>
          <w:sz w:val="32"/>
          <w:szCs w:val="32"/>
        </w:rPr>
        <w:t>普</w:t>
      </w:r>
      <w:r>
        <w:rPr>
          <w:rFonts w:hint="eastAsia" w:ascii="仿宋_GB2312" w:hAnsi="仿宋_GB2312" w:eastAsia="仿宋_GB2312" w:cs="仿宋_GB2312"/>
          <w:sz w:val="32"/>
          <w:szCs w:val="32"/>
        </w:rPr>
        <w:t>通教育</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高等教育</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17232.75</w:t>
      </w:r>
      <w:r>
        <w:rPr>
          <w:rFonts w:hint="eastAsia" w:ascii="仿宋_GB2312" w:hAnsi="仿宋_GB2312" w:eastAsia="仿宋_GB2312" w:cs="仿宋_GB2312"/>
          <w:sz w:val="32"/>
          <w:szCs w:val="32"/>
        </w:rPr>
        <w:t>万元，比上年执行数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3874.55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基本支出增加</w:t>
      </w:r>
      <w:r>
        <w:rPr>
          <w:rFonts w:hint="eastAsia" w:ascii="仿宋_GB2312" w:hAnsi="仿宋_GB2312" w:eastAsia="仿宋_GB2312" w:cs="仿宋_GB2312"/>
          <w:sz w:val="32"/>
          <w:szCs w:val="32"/>
          <w:lang w:val="en-US" w:eastAsia="zh-CN"/>
        </w:rPr>
        <w:t>1961.62万元，包括</w:t>
      </w:r>
      <w:r>
        <w:rPr>
          <w:rFonts w:hint="eastAsia" w:ascii="仿宋_GB2312" w:hAnsi="仿宋_GB2312" w:eastAsia="仿宋_GB2312" w:cs="仿宋_GB2312"/>
          <w:color w:val="auto"/>
          <w:sz w:val="32"/>
          <w:szCs w:val="32"/>
          <w:highlight w:val="none"/>
        </w:rPr>
        <w:t>工资福利支出增加</w:t>
      </w:r>
      <w:r>
        <w:rPr>
          <w:rFonts w:hint="eastAsia" w:ascii="仿宋_GB2312" w:hAnsi="仿宋_GB2312" w:eastAsia="仿宋_GB2312" w:cs="仿宋_GB2312"/>
          <w:color w:val="auto"/>
          <w:sz w:val="32"/>
          <w:szCs w:val="32"/>
          <w:highlight w:val="none"/>
          <w:lang w:val="en-US" w:eastAsia="zh-CN"/>
        </w:rPr>
        <w:t>1857.83</w:t>
      </w:r>
      <w:r>
        <w:rPr>
          <w:rFonts w:hint="eastAsia" w:ascii="仿宋_GB2312" w:hAnsi="仿宋_GB2312" w:eastAsia="仿宋_GB2312" w:cs="仿宋_GB2312"/>
          <w:color w:val="auto"/>
          <w:sz w:val="32"/>
          <w:szCs w:val="32"/>
          <w:highlight w:val="none"/>
        </w:rPr>
        <w:t>万元，商品和服务支出减少</w:t>
      </w:r>
      <w:r>
        <w:rPr>
          <w:rFonts w:hint="eastAsia" w:ascii="仿宋_GB2312" w:hAnsi="仿宋_GB2312" w:eastAsia="仿宋_GB2312" w:cs="仿宋_GB2312"/>
          <w:color w:val="auto"/>
          <w:sz w:val="32"/>
          <w:szCs w:val="32"/>
          <w:highlight w:val="none"/>
          <w:lang w:val="en-US" w:eastAsia="zh-CN"/>
        </w:rPr>
        <w:t>147.96</w:t>
      </w:r>
      <w:r>
        <w:rPr>
          <w:rFonts w:hint="eastAsia" w:ascii="仿宋_GB2312" w:hAnsi="仿宋_GB2312" w:eastAsia="仿宋_GB2312" w:cs="仿宋_GB2312"/>
          <w:color w:val="auto"/>
          <w:sz w:val="32"/>
          <w:szCs w:val="32"/>
          <w:highlight w:val="none"/>
        </w:rPr>
        <w:t>万元，对个人和家庭的补助</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251.75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项目支出增加</w:t>
      </w:r>
      <w:r>
        <w:rPr>
          <w:rFonts w:hint="eastAsia" w:ascii="仿宋_GB2312" w:hAnsi="仿宋_GB2312" w:eastAsia="仿宋_GB2312" w:cs="仿宋_GB2312"/>
          <w:color w:val="auto"/>
          <w:sz w:val="32"/>
          <w:szCs w:val="32"/>
          <w:highlight w:val="none"/>
          <w:lang w:val="en-US" w:eastAsia="zh-CN"/>
        </w:rPr>
        <w:t>1912.93万元，是因为2019年专项拨款纳入预算申请。</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行政事业单位离退休</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机关事业单位基本养老保险</w:t>
      </w:r>
      <w:r>
        <w:rPr>
          <w:rFonts w:hint="eastAsia" w:ascii="仿宋_GB2312" w:hAnsi="仿宋_GB2312" w:eastAsia="仿宋_GB2312" w:cs="仿宋_GB2312"/>
          <w:sz w:val="32"/>
          <w:szCs w:val="32"/>
          <w:lang w:eastAsia="zh-CN"/>
        </w:rPr>
        <w:t>缴费</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年预算为</w:t>
      </w:r>
      <w:r>
        <w:rPr>
          <w:rFonts w:hint="eastAsia" w:ascii="仿宋_GB2312" w:hAnsi="仿宋_GB2312" w:eastAsia="仿宋_GB2312" w:cs="仿宋_GB2312"/>
          <w:sz w:val="32"/>
          <w:szCs w:val="32"/>
          <w:lang w:val="en-US" w:eastAsia="zh-CN"/>
        </w:rPr>
        <w:t>1825.8</w:t>
      </w:r>
      <w:r>
        <w:rPr>
          <w:rFonts w:hint="eastAsia" w:ascii="仿宋_GB2312" w:hAnsi="仿宋_GB2312" w:eastAsia="仿宋_GB2312" w:cs="仿宋_GB2312"/>
          <w:sz w:val="32"/>
          <w:szCs w:val="32"/>
        </w:rPr>
        <w:t>万元，比上年执行数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174.2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8.71</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使用财政专户资金安排部分预算。</w:t>
      </w:r>
    </w:p>
    <w:p>
      <w:pPr>
        <w:spacing w:line="44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 社会保障和就业支出</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行政事业单位离退休</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机关事业单位职业年金缴费支出</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2019年预算为</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68.38</w:t>
      </w:r>
      <w:r>
        <w:rPr>
          <w:rFonts w:hint="eastAsia" w:ascii="仿宋_GB2312" w:hAnsi="仿宋_GB2312" w:eastAsia="仿宋_GB2312" w:cs="仿宋_GB2312"/>
          <w:sz w:val="32"/>
          <w:szCs w:val="32"/>
        </w:rPr>
        <w:t>万元，比上年执行数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53.58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8.72</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单位人员工资上涨，缴费基数增加。</w:t>
      </w:r>
    </w:p>
    <w:p>
      <w:pPr>
        <w:spacing w:line="4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4.卫生健康支出（类）财政对基本医疗保险基金的补助（款）财政对其他基本医疗保险基金的补助（项）：2019年预算为132万元，比上年执行数增加132万元，增长100%</w:t>
      </w:r>
      <w:r>
        <w:rPr>
          <w:rFonts w:hint="eastAsia" w:ascii="仿宋_GB2312" w:hAnsi="仿宋_GB2312" w:eastAsia="仿宋_GB2312" w:cs="仿宋_GB2312"/>
          <w:sz w:val="32"/>
          <w:szCs w:val="32"/>
          <w:highlight w:val="none"/>
          <w:lang w:val="en-US" w:eastAsia="zh-CN"/>
        </w:rPr>
        <w:t>，主要原因是：2018年部门预算中没有反映该专项拨款。</w:t>
      </w:r>
    </w:p>
    <w:p>
      <w:pPr>
        <w:spacing w:beforeLines="50" w:afterLines="50" w:line="4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六、关于新疆财经大学201</w:t>
      </w: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rPr>
        <w:t>年一般公共预算基本支出情况说明</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新疆财经大学201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年一般公共预算基本支出</w:t>
      </w:r>
      <w:r>
        <w:rPr>
          <w:rFonts w:hint="eastAsia" w:ascii="仿宋_GB2312" w:hAnsi="仿宋_GB2312" w:eastAsia="仿宋_GB2312" w:cs="仿宋_GB2312"/>
          <w:sz w:val="32"/>
          <w:szCs w:val="32"/>
          <w:lang w:val="en-US" w:eastAsia="zh-CN"/>
        </w:rPr>
        <w:t>17594</w:t>
      </w:r>
      <w:r>
        <w:rPr>
          <w:rFonts w:hint="eastAsia" w:ascii="仿宋_GB2312" w:hAnsi="仿宋_GB2312" w:eastAsia="仿宋_GB2312" w:cs="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16527.77</w:t>
      </w:r>
      <w:r>
        <w:rPr>
          <w:rFonts w:hint="eastAsia" w:ascii="仿宋_GB2312" w:hAnsi="仿宋_GB2312" w:eastAsia="仿宋_GB2312" w:cs="仿宋_GB2312"/>
          <w:sz w:val="32"/>
          <w:szCs w:val="32"/>
        </w:rPr>
        <w:t>万元，主要包括：基本工资、津贴补贴、奖金、</w:t>
      </w:r>
      <w:r>
        <w:rPr>
          <w:rFonts w:hint="eastAsia"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rPr>
        <w:t>机关事业单位基本养老保险缴费、职业年金缴费、职工基本医疗保险缴费、公务员医疗补助缴费、其他社会保障缴费、住房公积金、其他工资福利支出、离休费、生活补助、医疗费补助、其他对个人和家庭的补助支出。</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1066.23</w:t>
      </w:r>
      <w:r>
        <w:rPr>
          <w:rFonts w:hint="eastAsia" w:ascii="仿宋_GB2312" w:hAnsi="仿宋_GB2312" w:eastAsia="仿宋_GB2312" w:cs="仿宋_GB2312"/>
          <w:sz w:val="32"/>
          <w:szCs w:val="32"/>
        </w:rPr>
        <w:t>万元，主要包括：办公费、水费、电费、取暖费、</w:t>
      </w:r>
      <w:r>
        <w:rPr>
          <w:rFonts w:hint="eastAsia" w:ascii="仿宋_GB2312" w:hAnsi="仿宋_GB2312" w:eastAsia="仿宋_GB2312" w:cs="仿宋_GB2312"/>
          <w:sz w:val="32"/>
          <w:szCs w:val="32"/>
          <w:lang w:eastAsia="zh-CN"/>
        </w:rPr>
        <w:t>物业管理费、</w:t>
      </w:r>
      <w:r>
        <w:rPr>
          <w:rFonts w:hint="eastAsia" w:ascii="仿宋_GB2312" w:hAnsi="仿宋_GB2312" w:eastAsia="仿宋_GB2312" w:cs="仿宋_GB2312"/>
          <w:sz w:val="32"/>
          <w:szCs w:val="32"/>
        </w:rPr>
        <w:t>工会经费、福利费、其他商品和服务支出。</w:t>
      </w:r>
    </w:p>
    <w:p>
      <w:pPr>
        <w:spacing w:beforeLines="50" w:afterLines="50" w:line="4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七、关于新疆财经大学201</w:t>
      </w: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rPr>
        <w:t>年项目支出情况说明</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（一）项目名称：珠算协会</w:t>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设立的政策依据：根据自治区财政厅相关要求及珠算协会的预算申请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为应对珠协日常工作需要，进行珠算心算等级鉴定和技术比赛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组织评议珠算心算科研成果，表彰优秀专业人员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编辑发行珠算心算报刊教材书籍，管理印发等级证书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以及每两年一次的世界珠心算比赛和全国珠心算比赛发生的费用，特申请此项目资金</w:t>
      </w:r>
      <w:r>
        <w:rPr>
          <w:rFonts w:hint="eastAsia" w:ascii="仿宋_GB2312" w:hAnsi="仿宋_GB2312" w:eastAsia="仿宋_GB2312" w:cs="仿宋_GB2312"/>
          <w:sz w:val="32"/>
          <w:szCs w:val="32"/>
          <w:lang w:eastAsia="zh-CN"/>
        </w:rPr>
        <w:t>。</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预算安排规模：20万元</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项目承担单位：新疆财经大学</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资金分配情况：商品和服务支出20万元</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资金执行时间：201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（二）项目名称：教学建设（缴入国库非税收入）</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设立的政策依据：为了提高学校的硬件环境，改善学生的住宿条件，我校2019年预计对2号教学楼、4号教学楼、俱乐部、体育场、网络中心及南校区1号公寓楼进行全面维修维护，此次维修工程量比较大，包括室内乳胶漆粉刷，改水改电工程，卫生间改造</w:t>
      </w:r>
      <w:r>
        <w:rPr>
          <w:rFonts w:hint="eastAsia" w:ascii="仿宋_GB2312" w:hAnsi="仿宋_GB2312" w:eastAsia="仿宋_GB2312" w:cs="仿宋_GB2312"/>
          <w:color w:val="auto"/>
          <w:sz w:val="32"/>
          <w:szCs w:val="32"/>
          <w:highlight w:val="none"/>
          <w:shd w:val="clear" w:color="auto" w:fill="auto"/>
          <w:lang w:eastAsia="zh-CN"/>
        </w:rPr>
        <w:t>，多媒体设备</w:t>
      </w:r>
      <w:r>
        <w:rPr>
          <w:rFonts w:hint="eastAsia" w:ascii="仿宋_GB2312" w:hAnsi="仿宋_GB2312" w:eastAsia="仿宋_GB2312" w:cs="仿宋_GB2312"/>
          <w:color w:val="auto"/>
          <w:sz w:val="32"/>
          <w:szCs w:val="32"/>
          <w:highlight w:val="none"/>
          <w:shd w:val="clear" w:color="auto" w:fill="auto"/>
        </w:rPr>
        <w:t>更新，消防设施更换，外墙保温</w:t>
      </w:r>
      <w:r>
        <w:rPr>
          <w:rFonts w:hint="eastAsia" w:ascii="仿宋_GB2312" w:hAnsi="仿宋_GB2312" w:eastAsia="仿宋_GB2312" w:cs="仿宋_GB2312"/>
          <w:color w:val="auto"/>
          <w:sz w:val="32"/>
          <w:szCs w:val="32"/>
          <w:highlight w:val="none"/>
          <w:shd w:val="clear" w:color="auto" w:fill="auto"/>
          <w:lang w:eastAsia="zh-CN"/>
        </w:rPr>
        <w:t>等</w:t>
      </w:r>
      <w:r>
        <w:rPr>
          <w:rFonts w:hint="eastAsia" w:ascii="仿宋_GB2312" w:hAnsi="仿宋_GB2312" w:eastAsia="仿宋_GB2312" w:cs="仿宋_GB2312"/>
          <w:color w:val="auto"/>
          <w:sz w:val="32"/>
          <w:szCs w:val="32"/>
          <w:highlight w:val="none"/>
          <w:shd w:val="clear" w:color="auto" w:fill="auto"/>
        </w:rPr>
        <w:t>其他维修工程</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特申请此项目资金</w:t>
      </w:r>
      <w:r>
        <w:rPr>
          <w:rFonts w:hint="eastAsia" w:ascii="仿宋_GB2312" w:hAnsi="仿宋_GB2312" w:eastAsia="仿宋_GB2312" w:cs="仿宋_GB2312"/>
          <w:color w:val="auto"/>
          <w:sz w:val="32"/>
          <w:szCs w:val="32"/>
          <w:highlight w:val="none"/>
          <w:shd w:val="clear" w:color="auto" w:fill="auto"/>
          <w:lang w:eastAsia="zh-CN"/>
        </w:rPr>
        <w:t>。</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预算安排规模：200万元</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项目承担单位：新疆财经大学</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资金分配情况：商品和服务支出200万元</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（三）项目名称：教学建设 </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设立的政策依据：《新疆财经大学新增硕士学位点建设管理规定》研字</w:t>
      </w:r>
      <w:r>
        <w:rPr>
          <w:rFonts w:hint="eastAsia" w:ascii="仿宋_GB2312" w:hAnsi="仿宋_GB2312" w:eastAsia="仿宋_GB2312" w:cs="仿宋_GB2312"/>
          <w:color w:val="auto"/>
          <w:kern w:val="0"/>
          <w:sz w:val="32"/>
          <w:szCs w:val="32"/>
          <w:highlight w:val="none"/>
          <w:shd w:val="clear" w:color="auto" w:fill="auto"/>
        </w:rPr>
        <w:t>〔201</w:t>
      </w:r>
      <w:r>
        <w:rPr>
          <w:rFonts w:hint="eastAsia" w:ascii="仿宋_GB2312" w:hAnsi="仿宋_GB2312" w:eastAsia="仿宋_GB2312" w:cs="仿宋_GB2312"/>
          <w:color w:val="auto"/>
          <w:kern w:val="0"/>
          <w:sz w:val="32"/>
          <w:szCs w:val="32"/>
          <w:highlight w:val="none"/>
          <w:shd w:val="clear" w:color="auto" w:fill="auto"/>
          <w:lang w:val="en-US" w:eastAsia="zh-CN"/>
        </w:rPr>
        <w:t>1</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1号，对每个新增学位授权点自2017年起3年共拨付12万元的建设经费；马列部大学生心理健康教育中心--心理健康教育专项经费依据校办发</w:t>
      </w:r>
      <w:r>
        <w:rPr>
          <w:rFonts w:hint="eastAsia" w:ascii="仿宋_GB2312" w:hAnsi="仿宋_GB2312" w:eastAsia="仿宋_GB2312" w:cs="仿宋_GB2312"/>
          <w:color w:val="auto"/>
          <w:kern w:val="0"/>
          <w:sz w:val="32"/>
          <w:szCs w:val="32"/>
          <w:highlight w:val="none"/>
          <w:shd w:val="clear" w:color="auto" w:fill="auto"/>
        </w:rPr>
        <w:t>〔201</w:t>
      </w:r>
      <w:r>
        <w:rPr>
          <w:rFonts w:hint="eastAsia" w:ascii="仿宋_GB2312" w:hAnsi="仿宋_GB2312" w:eastAsia="仿宋_GB2312" w:cs="仿宋_GB2312"/>
          <w:color w:val="auto"/>
          <w:kern w:val="0"/>
          <w:sz w:val="32"/>
          <w:szCs w:val="32"/>
          <w:highlight w:val="none"/>
          <w:shd w:val="clear" w:color="auto" w:fill="auto"/>
          <w:lang w:val="en-US" w:eastAsia="zh-CN"/>
        </w:rPr>
        <w:t>1</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kern w:val="0"/>
          <w:sz w:val="32"/>
          <w:szCs w:val="32"/>
          <w:highlight w:val="none"/>
          <w:shd w:val="clear" w:color="auto" w:fill="auto"/>
          <w:lang w:val="en-US" w:eastAsia="zh-CN"/>
        </w:rPr>
        <w:t>34</w:t>
      </w:r>
      <w:r>
        <w:rPr>
          <w:rFonts w:hint="eastAsia" w:ascii="仿宋_GB2312" w:hAnsi="仿宋_GB2312" w:eastAsia="仿宋_GB2312" w:cs="仿宋_GB2312"/>
          <w:color w:val="auto"/>
          <w:sz w:val="32"/>
          <w:szCs w:val="32"/>
          <w:highlight w:val="none"/>
          <w:shd w:val="clear" w:color="auto" w:fill="auto"/>
        </w:rPr>
        <w:t>号文件，每年5万；体教部低耗品采购专款依据2009年10月29日校领导批示，每年4万元。学生体质检测费每年5万；根据《关于新疆财经大学重点学科建设学科和重点培育学科名单的通知》（校办</w:t>
      </w:r>
      <w:r>
        <w:rPr>
          <w:rFonts w:hint="eastAsia" w:ascii="仿宋_GB2312" w:hAnsi="仿宋_GB2312" w:eastAsia="仿宋_GB2312" w:cs="仿宋_GB2312"/>
          <w:color w:val="auto"/>
          <w:kern w:val="0"/>
          <w:sz w:val="32"/>
          <w:szCs w:val="32"/>
          <w:highlight w:val="none"/>
          <w:shd w:val="clear" w:color="auto" w:fill="auto"/>
        </w:rPr>
        <w:t>〔201</w:t>
      </w:r>
      <w:r>
        <w:rPr>
          <w:rFonts w:hint="eastAsia" w:ascii="仿宋_GB2312" w:hAnsi="仿宋_GB2312" w:eastAsia="仿宋_GB2312" w:cs="仿宋_GB2312"/>
          <w:color w:val="auto"/>
          <w:kern w:val="0"/>
          <w:sz w:val="32"/>
          <w:szCs w:val="32"/>
          <w:highlight w:val="none"/>
          <w:shd w:val="clear" w:color="auto" w:fill="auto"/>
          <w:lang w:val="en-US" w:eastAsia="zh-CN"/>
        </w:rPr>
        <w:t>3</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146号）《新疆财经大学重点学科建设管理办法》（校发</w:t>
      </w:r>
      <w:r>
        <w:rPr>
          <w:rFonts w:hint="eastAsia" w:ascii="仿宋_GB2312" w:hAnsi="仿宋_GB2312" w:eastAsia="仿宋_GB2312" w:cs="仿宋_GB2312"/>
          <w:color w:val="auto"/>
          <w:kern w:val="0"/>
          <w:sz w:val="32"/>
          <w:szCs w:val="32"/>
          <w:highlight w:val="none"/>
          <w:shd w:val="clear" w:color="auto" w:fill="auto"/>
        </w:rPr>
        <w:t>〔201</w:t>
      </w:r>
      <w:r>
        <w:rPr>
          <w:rFonts w:hint="eastAsia" w:ascii="仿宋_GB2312" w:hAnsi="仿宋_GB2312" w:eastAsia="仿宋_GB2312" w:cs="仿宋_GB2312"/>
          <w:color w:val="auto"/>
          <w:kern w:val="0"/>
          <w:sz w:val="32"/>
          <w:szCs w:val="32"/>
          <w:highlight w:val="none"/>
          <w:shd w:val="clear" w:color="auto" w:fill="auto"/>
          <w:lang w:val="en-US" w:eastAsia="zh-CN"/>
        </w:rPr>
        <w:t>4</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4号）文件要求，现拟对12个校级重点学科拨付2018年度建设经费共计520万元；校发</w:t>
      </w:r>
      <w:r>
        <w:rPr>
          <w:rFonts w:hint="eastAsia" w:ascii="仿宋_GB2312" w:hAnsi="仿宋_GB2312" w:eastAsia="仿宋_GB2312" w:cs="仿宋_GB2312"/>
          <w:color w:val="auto"/>
          <w:kern w:val="0"/>
          <w:sz w:val="32"/>
          <w:szCs w:val="32"/>
          <w:highlight w:val="none"/>
          <w:shd w:val="clear" w:color="auto" w:fill="auto"/>
        </w:rPr>
        <w:t>〔20</w:t>
      </w:r>
      <w:r>
        <w:rPr>
          <w:rFonts w:hint="eastAsia" w:ascii="仿宋_GB2312" w:hAnsi="仿宋_GB2312" w:eastAsia="仿宋_GB2312" w:cs="仿宋_GB2312"/>
          <w:color w:val="auto"/>
          <w:kern w:val="0"/>
          <w:sz w:val="32"/>
          <w:szCs w:val="32"/>
          <w:highlight w:val="none"/>
          <w:shd w:val="clear" w:color="auto" w:fill="auto"/>
          <w:lang w:val="en-US" w:eastAsia="zh-CN"/>
        </w:rPr>
        <w:t>09</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168号、校发</w:t>
      </w:r>
      <w:r>
        <w:rPr>
          <w:rFonts w:hint="eastAsia" w:ascii="仿宋_GB2312" w:hAnsi="仿宋_GB2312" w:eastAsia="仿宋_GB2312" w:cs="仿宋_GB2312"/>
          <w:color w:val="auto"/>
          <w:kern w:val="0"/>
          <w:sz w:val="32"/>
          <w:szCs w:val="32"/>
          <w:highlight w:val="none"/>
          <w:shd w:val="clear" w:color="auto" w:fill="auto"/>
        </w:rPr>
        <w:t>〔201</w:t>
      </w:r>
      <w:r>
        <w:rPr>
          <w:rFonts w:hint="eastAsia" w:ascii="仿宋_GB2312" w:hAnsi="仿宋_GB2312" w:eastAsia="仿宋_GB2312" w:cs="仿宋_GB2312"/>
          <w:color w:val="auto"/>
          <w:kern w:val="0"/>
          <w:sz w:val="32"/>
          <w:szCs w:val="32"/>
          <w:highlight w:val="none"/>
          <w:shd w:val="clear" w:color="auto" w:fill="auto"/>
          <w:lang w:val="en-US" w:eastAsia="zh-CN"/>
        </w:rPr>
        <w:t>0</w:t>
      </w:r>
      <w:r>
        <w:rPr>
          <w:rFonts w:hint="eastAsia" w:ascii="仿宋_GB2312" w:hAnsi="仿宋_GB2312" w:eastAsia="仿宋_GB2312" w:cs="仿宋_GB2312"/>
          <w:color w:val="auto"/>
          <w:kern w:val="0"/>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2号《新疆财经大学关于引进高层次人才的管理规定》计划2018年引进优秀人才10人，安家费每人30万元；重点专业建设经费依据校党发</w:t>
      </w:r>
      <w:r>
        <w:rPr>
          <w:rFonts w:hint="eastAsia" w:ascii="仿宋_GB2312" w:hAnsi="仿宋_GB2312" w:eastAsia="仿宋_GB2312" w:cs="仿宋_GB2312"/>
          <w:color w:val="auto"/>
          <w:kern w:val="0"/>
          <w:sz w:val="32"/>
          <w:szCs w:val="32"/>
          <w:highlight w:val="none"/>
          <w:shd w:val="clear" w:color="auto" w:fill="auto"/>
        </w:rPr>
        <w:t>〔2017〕</w:t>
      </w:r>
      <w:r>
        <w:rPr>
          <w:rFonts w:hint="eastAsia" w:ascii="仿宋_GB2312" w:hAnsi="仿宋_GB2312" w:eastAsia="仿宋_GB2312" w:cs="仿宋_GB2312"/>
          <w:color w:val="auto"/>
          <w:sz w:val="32"/>
          <w:szCs w:val="32"/>
          <w:highlight w:val="none"/>
          <w:shd w:val="clear" w:color="auto" w:fill="auto"/>
        </w:rPr>
        <w:t>4号第6项制度：《新疆财经大学重点与扶持专业（课程）建设实施方案》的规定，每个专业每年30万元的资助经费，连续拨付5年；扶持专业建设费据校党发</w:t>
      </w:r>
      <w:r>
        <w:rPr>
          <w:rFonts w:hint="eastAsia" w:ascii="仿宋_GB2312" w:hAnsi="仿宋_GB2312" w:eastAsia="仿宋_GB2312" w:cs="仿宋_GB2312"/>
          <w:color w:val="auto"/>
          <w:kern w:val="0"/>
          <w:sz w:val="32"/>
          <w:szCs w:val="32"/>
          <w:highlight w:val="none"/>
          <w:shd w:val="clear" w:color="auto" w:fill="auto"/>
        </w:rPr>
        <w:t>〔2017〕</w:t>
      </w:r>
      <w:r>
        <w:rPr>
          <w:rFonts w:hint="eastAsia" w:ascii="仿宋_GB2312" w:hAnsi="仿宋_GB2312" w:eastAsia="仿宋_GB2312" w:cs="仿宋_GB2312"/>
          <w:color w:val="auto"/>
          <w:sz w:val="32"/>
          <w:szCs w:val="32"/>
          <w:highlight w:val="none"/>
          <w:shd w:val="clear" w:color="auto" w:fill="auto"/>
        </w:rPr>
        <w:t>4号第6项制度：《新疆财经大学重点与扶持专业（课程）建设实施方案》的规定，建设周期5年，每个专业每年10万元资助经费等</w:t>
      </w:r>
      <w:r>
        <w:rPr>
          <w:rFonts w:hint="eastAsia" w:ascii="仿宋_GB2312" w:hAnsi="仿宋_GB2312" w:eastAsia="仿宋_GB2312" w:cs="仿宋_GB2312"/>
          <w:color w:val="auto"/>
          <w:sz w:val="32"/>
          <w:szCs w:val="32"/>
          <w:highlight w:val="none"/>
          <w:shd w:val="clear" w:color="auto" w:fill="auto"/>
          <w:lang w:eastAsia="zh-CN"/>
        </w:rPr>
        <w:t>。</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rPr>
        <w:t>主要用于开展以下工作：</w:t>
      </w:r>
      <w:r>
        <w:rPr>
          <w:rFonts w:hint="eastAsia" w:ascii="仿宋_GB2312" w:hAnsi="仿宋_GB2312" w:eastAsia="仿宋_GB2312" w:cs="仿宋_GB2312"/>
          <w:color w:val="auto"/>
          <w:sz w:val="32"/>
          <w:szCs w:val="32"/>
          <w:highlight w:val="none"/>
          <w:shd w:val="clear" w:color="auto" w:fill="auto"/>
        </w:rPr>
        <w:fldChar w:fldCharType="begin">
          <w:fldData xml:space="preserve">MQAxADAAQQBBADYAMABFADcAQQA0AEEANAA0ADgAOQBCADcAMwAwAEIAOAA4ADgAQQA4ADIANQAz
ADUANgBCAA==
</w:fldData>
        </w:fldChar>
      </w:r>
      <w:r>
        <w:rPr>
          <w:rFonts w:hint="eastAsia" w:ascii="仿宋_GB2312" w:hAnsi="仿宋_GB2312" w:eastAsia="仿宋_GB2312" w:cs="仿宋_GB2312"/>
          <w:color w:val="auto"/>
          <w:sz w:val="32"/>
          <w:szCs w:val="32"/>
          <w:highlight w:val="none"/>
          <w:shd w:val="clear" w:color="auto" w:fill="auto"/>
        </w:rPr>
        <w:instrText xml:space="preserve">Addin 项目申请的依据、项目内容及测算</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1.用于维持学校机关教学建设、物业、取暖、安保、维修（护）等日常运行开支,保证机关日常工作正常运转。2.认真做好政府采购管理工作，做好质量监督监控，按照政府采购规定，做好政府采购招投标工作。 3.完成各类教育专项业务工作如高校毕业生就业、学位论文抽检、教育督导、教育管理与改革等具体工作，检查各类教育专项业务法规政策等执行情况。4.深入推进人才强教、人才强校，有力地推动高等教育内涵发展和创新能力提升，为建设创新型国家做出重要贡献。</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预算安排规模：</w:t>
      </w:r>
      <w:r>
        <w:rPr>
          <w:rFonts w:hint="eastAsia" w:ascii="仿宋_GB2312" w:hAnsi="仿宋_GB2312" w:eastAsia="仿宋_GB2312" w:cs="仿宋_GB2312"/>
          <w:color w:val="auto"/>
          <w:sz w:val="32"/>
          <w:szCs w:val="32"/>
          <w:highlight w:val="none"/>
          <w:shd w:val="clear" w:color="auto" w:fill="auto"/>
          <w:lang w:val="en-US" w:eastAsia="zh-CN"/>
        </w:rPr>
        <w:t>11410.26</w:t>
      </w:r>
      <w:r>
        <w:rPr>
          <w:rFonts w:hint="eastAsia" w:ascii="仿宋_GB2312" w:hAnsi="仿宋_GB2312" w:eastAsia="仿宋_GB2312" w:cs="仿宋_GB2312"/>
          <w:color w:val="auto"/>
          <w:sz w:val="32"/>
          <w:szCs w:val="32"/>
          <w:highlight w:val="none"/>
          <w:shd w:val="clear" w:color="auto" w:fill="auto"/>
        </w:rPr>
        <w:t xml:space="preserve">万元 </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项目承担单位：新疆财经大学</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资金分配情况：工资福利支出</w:t>
      </w:r>
      <w:r>
        <w:rPr>
          <w:rFonts w:hint="eastAsia" w:ascii="仿宋_GB2312" w:hAnsi="仿宋_GB2312" w:eastAsia="仿宋_GB2312" w:cs="仿宋_GB2312"/>
          <w:color w:val="auto"/>
          <w:sz w:val="32"/>
          <w:szCs w:val="32"/>
          <w:highlight w:val="none"/>
          <w:shd w:val="clear" w:color="auto" w:fill="auto"/>
          <w:lang w:val="en-US" w:eastAsia="zh-CN"/>
        </w:rPr>
        <w:t>4040.79</w:t>
      </w:r>
      <w:r>
        <w:rPr>
          <w:rFonts w:hint="eastAsia" w:ascii="仿宋_GB2312" w:hAnsi="仿宋_GB2312" w:eastAsia="仿宋_GB2312" w:cs="仿宋_GB2312"/>
          <w:color w:val="auto"/>
          <w:sz w:val="32"/>
          <w:szCs w:val="32"/>
          <w:highlight w:val="none"/>
          <w:shd w:val="clear" w:color="auto" w:fill="auto"/>
        </w:rPr>
        <w:t>万元、商品和服务支出</w:t>
      </w:r>
      <w:r>
        <w:rPr>
          <w:rFonts w:hint="eastAsia" w:ascii="仿宋_GB2312" w:hAnsi="仿宋_GB2312" w:eastAsia="仿宋_GB2312" w:cs="仿宋_GB2312"/>
          <w:color w:val="auto"/>
          <w:sz w:val="32"/>
          <w:szCs w:val="32"/>
          <w:highlight w:val="none"/>
          <w:shd w:val="clear" w:color="auto" w:fill="auto"/>
          <w:lang w:val="en-US" w:eastAsia="zh-CN"/>
        </w:rPr>
        <w:t>5513.55</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助学金</w:t>
      </w:r>
      <w:r>
        <w:rPr>
          <w:rFonts w:hint="eastAsia" w:ascii="仿宋_GB2312" w:hAnsi="仿宋_GB2312" w:eastAsia="仿宋_GB2312" w:cs="仿宋_GB2312"/>
          <w:color w:val="auto"/>
          <w:sz w:val="32"/>
          <w:szCs w:val="32"/>
          <w:highlight w:val="none"/>
          <w:shd w:val="clear" w:color="auto" w:fill="auto"/>
          <w:lang w:val="en-US" w:eastAsia="zh-CN"/>
        </w:rPr>
        <w:t>600万元、</w:t>
      </w:r>
      <w:r>
        <w:rPr>
          <w:rFonts w:hint="eastAsia" w:ascii="仿宋_GB2312" w:hAnsi="仿宋_GB2312" w:eastAsia="仿宋_GB2312" w:cs="仿宋_GB2312"/>
          <w:color w:val="auto"/>
          <w:sz w:val="32"/>
          <w:szCs w:val="32"/>
          <w:highlight w:val="none"/>
          <w:shd w:val="clear" w:color="auto" w:fill="auto"/>
        </w:rPr>
        <w:t>对个人和家庭的补助</w:t>
      </w:r>
      <w:r>
        <w:rPr>
          <w:rFonts w:hint="eastAsia" w:ascii="仿宋_GB2312" w:hAnsi="仿宋_GB2312" w:eastAsia="仿宋_GB2312" w:cs="仿宋_GB2312"/>
          <w:color w:val="auto"/>
          <w:sz w:val="32"/>
          <w:szCs w:val="32"/>
          <w:highlight w:val="none"/>
          <w:shd w:val="clear" w:color="auto" w:fill="auto"/>
          <w:lang w:val="en-US" w:eastAsia="zh-CN"/>
        </w:rPr>
        <w:t>477.14</w:t>
      </w:r>
      <w:r>
        <w:rPr>
          <w:rFonts w:hint="eastAsia" w:ascii="仿宋_GB2312" w:hAnsi="仿宋_GB2312" w:eastAsia="仿宋_GB2312" w:cs="仿宋_GB2312"/>
          <w:color w:val="auto"/>
          <w:sz w:val="32"/>
          <w:szCs w:val="32"/>
          <w:highlight w:val="none"/>
          <w:shd w:val="clear" w:color="auto" w:fill="auto"/>
        </w:rPr>
        <w:t>万元、其他资本性支出</w:t>
      </w:r>
      <w:r>
        <w:rPr>
          <w:rFonts w:hint="eastAsia" w:ascii="仿宋_GB2312" w:hAnsi="仿宋_GB2312" w:eastAsia="仿宋_GB2312" w:cs="仿宋_GB2312"/>
          <w:color w:val="auto"/>
          <w:sz w:val="32"/>
          <w:szCs w:val="32"/>
          <w:highlight w:val="none"/>
          <w:shd w:val="clear" w:color="auto" w:fill="auto"/>
          <w:lang w:val="en-US" w:eastAsia="zh-CN"/>
        </w:rPr>
        <w:t>778.78</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四</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自治区高校班主任、辅导员补贴经费</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设立的政策依据</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lang w:eastAsia="zh-CN"/>
        </w:rPr>
        <w:t>根据</w:t>
      </w:r>
      <w:r>
        <w:rPr>
          <w:rFonts w:hint="eastAsia" w:ascii="仿宋_GB2312" w:hAnsi="仿宋_GB2312" w:eastAsia="仿宋_GB2312" w:cs="仿宋_GB2312"/>
          <w:color w:val="auto"/>
          <w:kern w:val="0"/>
          <w:sz w:val="32"/>
          <w:szCs w:val="32"/>
          <w:highlight w:val="none"/>
          <w:shd w:val="clear" w:color="auto" w:fill="auto"/>
        </w:rPr>
        <w:t>《普通高等学校辅导员队伍建设规定》（教育部43号令），《关于加强和改进新形势下高校思想政治工作的实施意见》（新党办发〔2017〕11号）。</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113.62万元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工资福利支出</w:t>
      </w:r>
      <w:r>
        <w:rPr>
          <w:rFonts w:hint="eastAsia" w:ascii="仿宋_GB2312" w:hAnsi="仿宋_GB2312" w:eastAsia="仿宋_GB2312" w:cs="仿宋_GB2312"/>
          <w:color w:val="auto"/>
          <w:sz w:val="32"/>
          <w:szCs w:val="32"/>
          <w:highlight w:val="none"/>
          <w:shd w:val="clear" w:color="auto" w:fill="auto"/>
          <w:lang w:val="en-US" w:eastAsia="zh-CN"/>
        </w:rPr>
        <w:t>113.62万元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五</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自治区高等学校科研计划</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t>《自治区高校建设工作会议纪要》（新政阅〔2016〕44号）；《新疆维吾尔自治区深化科技体制机制改革实施方案》；《自治区党委 自治区人民政府 关于深化人才发展体制机制改革的意见》（新党发〔2017〕18号）；国务院《关于印发统筹推进世界一流大学和一流学科</w:t>
      </w:r>
      <w:r>
        <w:rPr>
          <w:rFonts w:hint="eastAsia" w:ascii="仿宋_GB2312" w:hAnsi="仿宋_GB2312" w:eastAsia="仿宋_GB2312" w:cs="仿宋_GB2312"/>
          <w:color w:val="auto"/>
          <w:kern w:val="0"/>
          <w:sz w:val="32"/>
          <w:szCs w:val="32"/>
          <w:highlight w:val="none"/>
          <w:shd w:val="clear" w:color="auto" w:fill="auto"/>
          <w:lang w:eastAsia="zh-CN"/>
        </w:rPr>
        <w:t>建设总体方案的通知》。</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67万元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工资福利支出</w:t>
      </w:r>
      <w:r>
        <w:rPr>
          <w:rFonts w:hint="eastAsia" w:ascii="仿宋_GB2312" w:hAnsi="仿宋_GB2312" w:eastAsia="仿宋_GB2312" w:cs="仿宋_GB2312"/>
          <w:color w:val="auto"/>
          <w:sz w:val="32"/>
          <w:szCs w:val="32"/>
          <w:highlight w:val="none"/>
          <w:shd w:val="clear" w:color="auto" w:fill="auto"/>
          <w:lang w:val="en-US" w:eastAsia="zh-CN"/>
        </w:rPr>
        <w:t>19万元、商品服务支出48万元。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六</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高校国家奖助学金自治区配套及自治区研究生奖学金学业奖学金专项</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设立的政策依据：</w:t>
      </w:r>
      <w:r>
        <w:rPr>
          <w:rFonts w:hint="eastAsia" w:ascii="仿宋_GB2312" w:hAnsi="仿宋_GB2312" w:eastAsia="仿宋_GB2312" w:cs="仿宋_GB2312"/>
          <w:color w:val="auto"/>
          <w:kern w:val="0"/>
          <w:sz w:val="32"/>
          <w:szCs w:val="32"/>
          <w:highlight w:val="none"/>
          <w:shd w:val="clear" w:color="auto" w:fill="auto"/>
        </w:rPr>
        <w:t>根据教育部《关于建立健全普通本科高校高等职业学校和中等职业学校家庭经济困难学生资助政策体系的意见》（国发〔20</w:t>
      </w:r>
      <w:r>
        <w:rPr>
          <w:rFonts w:hint="eastAsia" w:ascii="仿宋_GB2312" w:hAnsi="仿宋_GB2312" w:eastAsia="仿宋_GB2312" w:cs="仿宋_GB2312"/>
          <w:color w:val="auto"/>
          <w:kern w:val="0"/>
          <w:sz w:val="32"/>
          <w:szCs w:val="32"/>
          <w:highlight w:val="none"/>
          <w:shd w:val="clear" w:color="auto" w:fill="auto"/>
          <w:lang w:val="en-US" w:eastAsia="zh-CN"/>
        </w:rPr>
        <w:t>0</w:t>
      </w:r>
      <w:r>
        <w:rPr>
          <w:rFonts w:hint="eastAsia" w:ascii="仿宋_GB2312" w:hAnsi="仿宋_GB2312" w:eastAsia="仿宋_GB2312" w:cs="仿宋_GB2312"/>
          <w:color w:val="auto"/>
          <w:kern w:val="0"/>
          <w:sz w:val="32"/>
          <w:szCs w:val="32"/>
          <w:highlight w:val="none"/>
          <w:shd w:val="clear" w:color="auto" w:fill="auto"/>
        </w:rPr>
        <w:t>7〕13号）和新疆维吾尔自治区人民政府《关于建立健全普通本科高校高等职业学校和中等职业学校农村家庭经济困难学生资助政策体系的实施意见》</w:t>
      </w:r>
      <w:r>
        <w:rPr>
          <w:rFonts w:hint="eastAsia" w:ascii="仿宋_GB2312" w:hAnsi="仿宋_GB2312" w:eastAsia="仿宋_GB2312" w:cs="仿宋_GB2312"/>
          <w:color w:val="auto"/>
          <w:kern w:val="0"/>
          <w:sz w:val="32"/>
          <w:szCs w:val="32"/>
          <w:highlight w:val="none"/>
          <w:shd w:val="clear" w:color="auto" w:fill="auto"/>
          <w:lang w:eastAsia="zh-CN"/>
        </w:rPr>
        <w:t>文件。</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410.91万元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助学金</w:t>
      </w:r>
      <w:r>
        <w:rPr>
          <w:rFonts w:hint="eastAsia" w:ascii="仿宋_GB2312" w:hAnsi="仿宋_GB2312" w:eastAsia="仿宋_GB2312" w:cs="仿宋_GB2312"/>
          <w:color w:val="auto"/>
          <w:sz w:val="32"/>
          <w:szCs w:val="32"/>
          <w:highlight w:val="none"/>
          <w:shd w:val="clear" w:color="auto" w:fill="auto"/>
          <w:lang w:val="en-US" w:eastAsia="zh-CN"/>
        </w:rPr>
        <w:t>410.91万元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七</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高校学生伙食补助资金</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t>根据《自治区党委 关于研究高校学生食堂伙食价格调整事宜的会议纪要》（新党纪字〔20</w:t>
      </w:r>
      <w:r>
        <w:rPr>
          <w:rFonts w:hint="eastAsia" w:ascii="仿宋_GB2312" w:hAnsi="仿宋_GB2312" w:eastAsia="仿宋_GB2312" w:cs="仿宋_GB2312"/>
          <w:color w:val="auto"/>
          <w:kern w:val="0"/>
          <w:sz w:val="32"/>
          <w:szCs w:val="32"/>
          <w:highlight w:val="none"/>
          <w:shd w:val="clear" w:color="auto" w:fill="auto"/>
          <w:lang w:val="en-US" w:eastAsia="zh-CN"/>
        </w:rPr>
        <w:t>09</w:t>
      </w:r>
      <w:r>
        <w:rPr>
          <w:rFonts w:hint="eastAsia" w:ascii="仿宋_GB2312" w:hAnsi="仿宋_GB2312" w:eastAsia="仿宋_GB2312" w:cs="仿宋_GB2312"/>
          <w:color w:val="auto"/>
          <w:kern w:val="0"/>
          <w:sz w:val="32"/>
          <w:szCs w:val="32"/>
          <w:highlight w:val="none"/>
          <w:shd w:val="clear" w:color="auto" w:fill="auto"/>
        </w:rPr>
        <w:t>〕1号）的文件精神, 通过对在校学生的伙食资助，有效的提高学生伙食质量，减轻学生家庭的负担。</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239.04万元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助学金</w:t>
      </w:r>
      <w:r>
        <w:rPr>
          <w:rFonts w:hint="eastAsia" w:ascii="仿宋_GB2312" w:hAnsi="仿宋_GB2312" w:eastAsia="仿宋_GB2312" w:cs="仿宋_GB2312"/>
          <w:color w:val="auto"/>
          <w:sz w:val="32"/>
          <w:szCs w:val="32"/>
          <w:highlight w:val="none"/>
          <w:shd w:val="clear" w:color="auto" w:fill="auto"/>
          <w:lang w:val="en-US" w:eastAsia="zh-CN"/>
        </w:rPr>
        <w:t>239.04万元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八</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高校教育教学改革专项资金</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sz w:val="32"/>
          <w:szCs w:val="32"/>
          <w:highlight w:val="none"/>
          <w:shd w:val="clear" w:color="auto" w:fill="auto"/>
          <w:lang w:eastAsia="zh-CN"/>
        </w:rPr>
        <w:t>根据</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MQAxADAAQQBBADYAMABFADcAQQA0AEEANAA0ADgAOQBCADcAMwAwAEIAOAA4ADgAQQA4ADIANQAz
ADUANgBCAA==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项目申请的依据、项目内容及测算</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《国家中长期教育改革和发展规划纲要（2010-2020）》（新教发〔2011〕47号）、《关于印发新疆维吾尔自治区高等教育“十三五”发展规划的通知》（新教高〔2016〕24号）</w:t>
      </w:r>
      <w:r>
        <w:rPr>
          <w:rFonts w:hint="eastAsia" w:ascii="仿宋_GB2312" w:hAnsi="仿宋_GB2312" w:eastAsia="仿宋_GB2312" w:cs="仿宋_GB2312"/>
          <w:color w:val="auto"/>
          <w:kern w:val="0"/>
          <w:sz w:val="32"/>
          <w:szCs w:val="32"/>
          <w:highlight w:val="none"/>
          <w:shd w:val="clear" w:color="auto" w:fill="auto"/>
        </w:rPr>
        <w:fldChar w:fldCharType="end"/>
      </w:r>
      <w:r>
        <w:rPr>
          <w:rFonts w:hint="eastAsia" w:ascii="仿宋_GB2312" w:hAnsi="仿宋_GB2312" w:eastAsia="仿宋_GB2312" w:cs="仿宋_GB2312"/>
          <w:color w:val="auto"/>
          <w:kern w:val="0"/>
          <w:sz w:val="32"/>
          <w:szCs w:val="32"/>
          <w:highlight w:val="none"/>
          <w:shd w:val="clear" w:color="auto" w:fill="auto"/>
          <w:lang w:eastAsia="zh-CN"/>
        </w:rPr>
        <w:t>文件精神。</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230万元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商品服务支出</w:t>
      </w:r>
      <w:r>
        <w:rPr>
          <w:rFonts w:hint="eastAsia" w:ascii="仿宋_GB2312" w:hAnsi="仿宋_GB2312" w:eastAsia="仿宋_GB2312" w:cs="仿宋_GB2312"/>
          <w:color w:val="auto"/>
          <w:sz w:val="32"/>
          <w:szCs w:val="32"/>
          <w:highlight w:val="none"/>
          <w:shd w:val="clear" w:color="auto" w:fill="auto"/>
          <w:lang w:val="en-US" w:eastAsia="zh-CN"/>
        </w:rPr>
        <w:t>230万元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九</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高校自治区人民政府励志奖学金和助学金</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MQAxADAAQQBBADYAMABFADcAQQA0AEEANAA0ADgAOQBCADcAMwAwAEIAOAA4ADgAQQA4ADIANQAz
ADUANgBCAA==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项目申请的依据、项目内容及测算</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根据自治区人民政府第2176号艾尔肯、于欢同志的重要批示，将“自治区人民政府高校一等助学金变更为自治区人民政府励志奖学金”以及《自治区人民政府高校助学金管办法（暂行）》，自治区人民政府每年拿出专项资金，用于资助高校家庭经济困难学生。</w:t>
      </w:r>
      <w:r>
        <w:rPr>
          <w:rFonts w:hint="eastAsia" w:ascii="仿宋_GB2312" w:hAnsi="仿宋_GB2312" w:eastAsia="仿宋_GB2312" w:cs="仿宋_GB2312"/>
          <w:color w:val="auto"/>
          <w:kern w:val="0"/>
          <w:sz w:val="32"/>
          <w:szCs w:val="32"/>
          <w:highlight w:val="none"/>
          <w:shd w:val="clear" w:color="auto" w:fill="auto"/>
        </w:rPr>
        <w:fldChar w:fldCharType="end"/>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608.8万元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助学金</w:t>
      </w:r>
      <w:r>
        <w:rPr>
          <w:rFonts w:hint="eastAsia" w:ascii="仿宋_GB2312" w:hAnsi="仿宋_GB2312" w:eastAsia="仿宋_GB2312" w:cs="仿宋_GB2312"/>
          <w:color w:val="auto"/>
          <w:sz w:val="32"/>
          <w:szCs w:val="32"/>
          <w:highlight w:val="none"/>
          <w:shd w:val="clear" w:color="auto" w:fill="auto"/>
          <w:lang w:val="en-US" w:eastAsia="zh-CN"/>
        </w:rPr>
        <w:t>608.8万元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十</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自治区人民政府接收周边国家留学生奖学金和成组配套出国留学项目</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t>《关于设立新疆维吾尔自治区来华留学生政府奖学金专项经费的请示》（新教财〔2008〕201号）自治区靳诺副主席批示“原则同意”。</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66万元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工资福利支出</w:t>
      </w:r>
      <w:r>
        <w:rPr>
          <w:rFonts w:hint="eastAsia" w:ascii="仿宋_GB2312" w:hAnsi="仿宋_GB2312" w:eastAsia="仿宋_GB2312" w:cs="仿宋_GB2312"/>
          <w:color w:val="auto"/>
          <w:sz w:val="32"/>
          <w:szCs w:val="32"/>
          <w:highlight w:val="none"/>
          <w:shd w:val="clear" w:color="auto" w:fill="auto"/>
          <w:lang w:val="en-US" w:eastAsia="zh-CN"/>
        </w:rPr>
        <w:t>22.5万元、商品服务支出19.5万元、助学金24万元。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十一</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自治区免费师范生计划（含中等职业教育“定向培养免费师范生”）</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MQAxADAAQQBBADYAMABFADcAQQA0AEEANAA0ADgAOQBCADcAMwAwAEIAOAA4ADgAQQA4ADIANQAz
ADUANgBCAA==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项目申请的依据、项目内容及测算</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lang w:eastAsia="zh-CN"/>
        </w:rPr>
        <w:t>根</w:t>
      </w:r>
      <w:r>
        <w:rPr>
          <w:rFonts w:hint="eastAsia" w:ascii="仿宋_GB2312" w:hAnsi="仿宋_GB2312" w:eastAsia="仿宋_GB2312" w:cs="仿宋_GB2312"/>
          <w:color w:val="auto"/>
          <w:kern w:val="0"/>
          <w:sz w:val="32"/>
          <w:szCs w:val="32"/>
          <w:highlight w:val="none"/>
          <w:shd w:val="clear" w:color="auto" w:fill="auto"/>
        </w:rPr>
        <w:t>据自治区教育厅、人社厅、财政厅、编办2009年联合下发的《关于实施“自治区农村‘双语’教师特培计划”的通知》（新教师〔20</w:t>
      </w:r>
      <w:r>
        <w:rPr>
          <w:rFonts w:hint="eastAsia" w:ascii="仿宋_GB2312" w:hAnsi="仿宋_GB2312" w:eastAsia="仿宋_GB2312" w:cs="仿宋_GB2312"/>
          <w:color w:val="auto"/>
          <w:kern w:val="0"/>
          <w:sz w:val="32"/>
          <w:szCs w:val="32"/>
          <w:highlight w:val="none"/>
          <w:shd w:val="clear" w:color="auto" w:fill="auto"/>
          <w:lang w:val="en-US" w:eastAsia="zh-CN"/>
        </w:rPr>
        <w:t>09</w:t>
      </w:r>
      <w:r>
        <w:rPr>
          <w:rFonts w:hint="eastAsia" w:ascii="仿宋_GB2312" w:hAnsi="仿宋_GB2312" w:eastAsia="仿宋_GB2312" w:cs="仿宋_GB2312"/>
          <w:color w:val="auto"/>
          <w:kern w:val="0"/>
          <w:sz w:val="32"/>
          <w:szCs w:val="32"/>
          <w:highlight w:val="none"/>
          <w:shd w:val="clear" w:color="auto" w:fill="auto"/>
        </w:rPr>
        <w:t>〕5号）、自治区人民政府办公厅关于印发《自治区对疆内师范生实行免费教育的管理办法》的通知（新政办发〔2010〕25号）</w:t>
      </w:r>
      <w:r>
        <w:rPr>
          <w:rFonts w:hint="eastAsia" w:ascii="仿宋_GB2312" w:hAnsi="仿宋_GB2312" w:eastAsia="仿宋_GB2312" w:cs="仿宋_GB2312"/>
          <w:color w:val="auto"/>
          <w:kern w:val="0"/>
          <w:sz w:val="32"/>
          <w:szCs w:val="32"/>
          <w:highlight w:val="none"/>
          <w:shd w:val="clear" w:color="auto" w:fill="auto"/>
        </w:rPr>
        <w:fldChar w:fldCharType="end"/>
      </w:r>
      <w:r>
        <w:rPr>
          <w:rFonts w:hint="eastAsia" w:ascii="仿宋_GB2312" w:hAnsi="仿宋_GB2312" w:eastAsia="仿宋_GB2312" w:cs="仿宋_GB2312"/>
          <w:color w:val="auto"/>
          <w:kern w:val="0"/>
          <w:sz w:val="32"/>
          <w:szCs w:val="32"/>
          <w:highlight w:val="none"/>
          <w:shd w:val="clear" w:color="auto" w:fill="auto"/>
          <w:lang w:eastAsia="zh-CN"/>
        </w:rPr>
        <w:t>文件。</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5.18万元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助学金</w:t>
      </w:r>
      <w:r>
        <w:rPr>
          <w:rFonts w:hint="eastAsia" w:ascii="仿宋_GB2312" w:hAnsi="仿宋_GB2312" w:eastAsia="仿宋_GB2312" w:cs="仿宋_GB2312"/>
          <w:color w:val="auto"/>
          <w:sz w:val="32"/>
          <w:szCs w:val="32"/>
          <w:highlight w:val="none"/>
          <w:shd w:val="clear" w:color="auto" w:fill="auto"/>
          <w:lang w:val="en-US" w:eastAsia="zh-CN"/>
        </w:rPr>
        <w:t>5.18万元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十二</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民汉双语翻译人才培养计划</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t xml:space="preserve">根据自治区党委《关于研究加强少数民族语言类报刊管理和少数民族语言类专业人才培养问题的会议纪要》（新党纪字〔2006〕14号）、自治区党委办公厅 </w:t>
      </w: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rPr>
        <w:t>自治区人民政府办公厅《关于进一步做好自治区民族语文翻译工作的意见》</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72万元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工资福利支出</w:t>
      </w:r>
      <w:r>
        <w:rPr>
          <w:rFonts w:hint="eastAsia" w:ascii="仿宋_GB2312" w:hAnsi="仿宋_GB2312" w:eastAsia="仿宋_GB2312" w:cs="仿宋_GB2312"/>
          <w:color w:val="auto"/>
          <w:sz w:val="32"/>
          <w:szCs w:val="32"/>
          <w:highlight w:val="none"/>
          <w:shd w:val="clear" w:color="auto" w:fill="auto"/>
          <w:lang w:val="en-US" w:eastAsia="zh-CN"/>
        </w:rPr>
        <w:t>35万元、商品服务支出37万元。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十三</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图书馆项目</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MQAxADAAQQBBADYAMABFADcAQQA0AEEANAA0ADgAOQBCADcAMwAwAEIAOAA4ADgAQQA4ADIANQAz
ADUANgBCAA==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项目申请的依据、项目内容及测算</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根据自治区发改委新发改社会〔2017〕193号文件，新疆财经大学图书馆建设项目获得立项批复，建筑面积为15333平方米，投资金额为7320万元，其中国家投入4600万元。自筹资金为2720万元，截止目前，国家投入4600万元已全部到位，学校自筹资金也已落实。</w:t>
      </w:r>
      <w:r>
        <w:rPr>
          <w:rFonts w:hint="eastAsia" w:ascii="仿宋_GB2312" w:hAnsi="仿宋_GB2312" w:eastAsia="仿宋_GB2312" w:cs="仿宋_GB2312"/>
          <w:color w:val="auto"/>
          <w:kern w:val="0"/>
          <w:sz w:val="32"/>
          <w:szCs w:val="32"/>
          <w:highlight w:val="none"/>
          <w:shd w:val="clear" w:color="auto" w:fill="auto"/>
        </w:rPr>
        <w:fldChar w:fldCharType="end"/>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722.46万元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资本性支出（一）</w:t>
      </w:r>
      <w:r>
        <w:rPr>
          <w:rFonts w:hint="eastAsia" w:ascii="仿宋_GB2312" w:hAnsi="仿宋_GB2312" w:eastAsia="仿宋_GB2312" w:cs="仿宋_GB2312"/>
          <w:color w:val="auto"/>
          <w:sz w:val="32"/>
          <w:szCs w:val="32"/>
          <w:highlight w:val="none"/>
          <w:shd w:val="clear" w:color="auto" w:fill="auto"/>
          <w:lang w:val="en-US" w:eastAsia="zh-CN"/>
        </w:rPr>
        <w:t>722.46万元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十四</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高校大学生医疗补助</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MQAxADAAQQBBADYAMABFADcAQQA0AEEANAA0ADgAOQBCADcAMwAwAEIAOAA4ADgAQQA4ADIANQAz
ADUANgBCAA==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项目申请的依据、项目内容及测算</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根据《国务院关于开城镇居民基本医疗保险试点的指导意见》（国发〔2017〕20号</w:t>
      </w:r>
      <w:r>
        <w:rPr>
          <w:rFonts w:hint="eastAsia" w:ascii="仿宋_GB2312" w:hAnsi="仿宋_GB2312" w:eastAsia="仿宋_GB2312" w:cs="仿宋_GB2312"/>
          <w:color w:val="auto"/>
          <w:kern w:val="0"/>
          <w:sz w:val="32"/>
          <w:szCs w:val="32"/>
          <w:highlight w:val="none"/>
          <w:shd w:val="clear" w:color="auto" w:fill="auto"/>
          <w:lang w:eastAsia="zh-CN"/>
        </w:rPr>
        <w:t>）文件</w:t>
      </w:r>
      <w:r>
        <w:rPr>
          <w:rFonts w:hint="eastAsia" w:ascii="仿宋_GB2312" w:hAnsi="仿宋_GB2312" w:eastAsia="仿宋_GB2312" w:cs="仿宋_GB2312"/>
          <w:color w:val="auto"/>
          <w:kern w:val="0"/>
          <w:sz w:val="32"/>
          <w:szCs w:val="32"/>
          <w:highlight w:val="none"/>
          <w:shd w:val="clear" w:color="auto" w:fill="auto"/>
        </w:rPr>
        <w:t>精神，进一步做好大学生医疗保障工作。</w:t>
      </w:r>
      <w:r>
        <w:rPr>
          <w:rFonts w:hint="eastAsia" w:ascii="仿宋_GB2312" w:hAnsi="仿宋_GB2312" w:eastAsia="仿宋_GB2312" w:cs="仿宋_GB2312"/>
          <w:color w:val="auto"/>
          <w:kern w:val="0"/>
          <w:sz w:val="32"/>
          <w:szCs w:val="32"/>
          <w:highlight w:val="none"/>
          <w:shd w:val="clear" w:color="auto" w:fill="auto"/>
        </w:rPr>
        <w:fldChar w:fldCharType="end"/>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132万元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社会福利和救助</w:t>
      </w:r>
      <w:r>
        <w:rPr>
          <w:rFonts w:hint="eastAsia" w:ascii="仿宋_GB2312" w:hAnsi="仿宋_GB2312" w:eastAsia="仿宋_GB2312" w:cs="仿宋_GB2312"/>
          <w:color w:val="auto"/>
          <w:sz w:val="32"/>
          <w:szCs w:val="32"/>
          <w:highlight w:val="none"/>
          <w:shd w:val="clear" w:color="auto" w:fill="auto"/>
          <w:lang w:val="en-US" w:eastAsia="zh-CN"/>
        </w:rPr>
        <w:t>132万元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spacing w:line="440" w:lineRule="exact"/>
        <w:ind w:firstLine="640" w:firstLineChars="200"/>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十五</w:t>
      </w:r>
      <w:r>
        <w:rPr>
          <w:rFonts w:hint="eastAsia" w:ascii="仿宋_GB2312" w:hAnsi="仿宋_GB2312" w:eastAsia="仿宋_GB2312" w:cs="仿宋_GB2312"/>
          <w:color w:val="auto"/>
          <w:sz w:val="32"/>
          <w:szCs w:val="32"/>
          <w:highlight w:val="none"/>
          <w:shd w:val="clear" w:color="auto" w:fill="auto"/>
        </w:rPr>
        <w:t>）项目名称：</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QgAwAEEAOAA5AEQANgA4AEIANAA2AEMANAA3ADkAMwBCAEEAOQAxADYAMQBDADgAOAA3AEIAMAA3
ADgAMAA0AA==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项目名称</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高校少数民族预科学生学费和住宿费补助资金</w:t>
      </w:r>
      <w:r>
        <w:rPr>
          <w:rFonts w:hint="eastAsia" w:ascii="仿宋_GB2312" w:hAnsi="仿宋_GB2312" w:eastAsia="仿宋_GB2312" w:cs="仿宋_GB2312"/>
          <w:color w:val="auto"/>
          <w:kern w:val="0"/>
          <w:sz w:val="32"/>
          <w:szCs w:val="32"/>
          <w:highlight w:val="none"/>
          <w:shd w:val="clear" w:color="auto" w:fill="auto"/>
        </w:rPr>
        <w:fldChar w:fldCharType="end"/>
      </w:r>
    </w:p>
    <w:p>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autoSpaceDE w:val="0"/>
        <w:autoSpaceDN w:val="0"/>
        <w:bidi w:val="0"/>
        <w:adjustRightInd w:val="0"/>
        <w:snapToGrid/>
        <w:spacing w:line="4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设立的政策依据：</w:t>
      </w:r>
      <w:r>
        <w:rPr>
          <w:rFonts w:hint="eastAsia" w:ascii="仿宋_GB2312" w:hAnsi="仿宋_GB2312" w:eastAsia="仿宋_GB2312" w:cs="仿宋_GB2312"/>
          <w:color w:val="auto"/>
          <w:kern w:val="0"/>
          <w:sz w:val="32"/>
          <w:szCs w:val="32"/>
          <w:highlight w:val="none"/>
          <w:shd w:val="clear" w:color="auto" w:fill="auto"/>
        </w:rPr>
        <w:fldChar w:fldCharType="begin">
          <w:fldData xml:space="preserve">MQAxADAAQQBBADYAMABFADcAQQA0AEEANAA0ADgAOQBCADcAMwAwAEIAOAA4ADgAQQA4ADIANQAz
ADUANgBCAA==
</w:fldData>
        </w:fldChar>
      </w:r>
      <w:r>
        <w:rPr>
          <w:rFonts w:hint="eastAsia" w:ascii="仿宋_GB2312" w:hAnsi="仿宋_GB2312" w:eastAsia="仿宋_GB2312" w:cs="仿宋_GB2312"/>
          <w:color w:val="auto"/>
          <w:kern w:val="0"/>
          <w:sz w:val="32"/>
          <w:szCs w:val="32"/>
          <w:highlight w:val="none"/>
          <w:shd w:val="clear" w:color="auto" w:fill="auto"/>
        </w:rPr>
        <w:instrText xml:space="preserve">Addin 项目申请的依据、项目内容及测算</w:instrText>
      </w:r>
      <w:r>
        <w:rPr>
          <w:rFonts w:hint="eastAsia" w:ascii="仿宋_GB2312" w:hAnsi="仿宋_GB2312" w:eastAsia="仿宋_GB2312" w:cs="仿宋_GB2312"/>
          <w:color w:val="auto"/>
          <w:kern w:val="0"/>
          <w:sz w:val="32"/>
          <w:szCs w:val="32"/>
          <w:highlight w:val="none"/>
          <w:shd w:val="clear" w:color="auto" w:fill="auto"/>
        </w:rPr>
        <w:fldChar w:fldCharType="separate"/>
      </w:r>
      <w:r>
        <w:rPr>
          <w:rFonts w:hint="eastAsia" w:ascii="仿宋_GB2312" w:hAnsi="仿宋_GB2312" w:eastAsia="仿宋_GB2312" w:cs="仿宋_GB2312"/>
          <w:color w:val="auto"/>
          <w:kern w:val="0"/>
          <w:sz w:val="32"/>
          <w:szCs w:val="32"/>
          <w:highlight w:val="none"/>
          <w:shd w:val="clear" w:color="auto" w:fill="auto"/>
        </w:rPr>
        <w:t>根据自治区党委《第二十五次常委（扩大）会议纪要（三）》（新党常〔201</w:t>
      </w:r>
      <w:r>
        <w:rPr>
          <w:rFonts w:hint="eastAsia" w:ascii="仿宋_GB2312" w:hAnsi="仿宋_GB2312" w:eastAsia="仿宋_GB2312" w:cs="仿宋_GB2312"/>
          <w:color w:val="auto"/>
          <w:kern w:val="0"/>
          <w:sz w:val="32"/>
          <w:szCs w:val="32"/>
          <w:highlight w:val="none"/>
          <w:shd w:val="clear" w:color="auto" w:fill="auto"/>
          <w:lang w:val="en-US" w:eastAsia="zh-CN"/>
        </w:rPr>
        <w:t>1</w:t>
      </w:r>
      <w:r>
        <w:rPr>
          <w:rFonts w:hint="eastAsia" w:ascii="仿宋_GB2312" w:hAnsi="仿宋_GB2312" w:eastAsia="仿宋_GB2312" w:cs="仿宋_GB2312"/>
          <w:color w:val="auto"/>
          <w:kern w:val="0"/>
          <w:sz w:val="32"/>
          <w:szCs w:val="32"/>
          <w:highlight w:val="none"/>
          <w:shd w:val="clear" w:color="auto" w:fill="auto"/>
        </w:rPr>
        <w:t>〕25号）精神，近年来自治区教育事业快速发展，教育规模不断扩大，教育体系日益完善，教育结构趋于合理，教育质量明显提高，为自治区经济社会的发展提供了有力的人才和人力资源保障</w:t>
      </w:r>
      <w:r>
        <w:rPr>
          <w:rFonts w:hint="eastAsia" w:ascii="仿宋_GB2312" w:hAnsi="仿宋_GB2312" w:eastAsia="仿宋_GB2312" w:cs="仿宋_GB2312"/>
          <w:color w:val="auto"/>
          <w:kern w:val="0"/>
          <w:sz w:val="32"/>
          <w:szCs w:val="32"/>
          <w:highlight w:val="none"/>
          <w:shd w:val="clear" w:color="auto" w:fill="auto"/>
          <w:lang w:eastAsia="zh-CN"/>
        </w:rPr>
        <w:t>，</w:t>
      </w:r>
      <w:r>
        <w:rPr>
          <w:rFonts w:hint="eastAsia" w:ascii="仿宋_GB2312" w:hAnsi="仿宋_GB2312" w:eastAsia="仿宋_GB2312" w:cs="仿宋_GB2312"/>
          <w:color w:val="auto"/>
          <w:kern w:val="0"/>
          <w:sz w:val="32"/>
          <w:szCs w:val="32"/>
          <w:highlight w:val="none"/>
          <w:shd w:val="clear" w:color="auto" w:fill="auto"/>
        </w:rPr>
        <w:t>对少数民族预科学生进行资金支持和保证。</w:t>
      </w:r>
      <w:r>
        <w:rPr>
          <w:rFonts w:hint="eastAsia" w:ascii="仿宋_GB2312" w:hAnsi="仿宋_GB2312" w:eastAsia="仿宋_GB2312" w:cs="仿宋_GB2312"/>
          <w:color w:val="auto"/>
          <w:kern w:val="0"/>
          <w:sz w:val="32"/>
          <w:szCs w:val="32"/>
          <w:highlight w:val="none"/>
          <w:shd w:val="clear" w:color="auto" w:fill="auto"/>
        </w:rPr>
        <w:fldChar w:fldCharType="end"/>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预算安排规模：</w:t>
      </w:r>
      <w:r>
        <w:rPr>
          <w:rFonts w:hint="eastAsia" w:ascii="仿宋_GB2312" w:hAnsi="仿宋_GB2312" w:eastAsia="仿宋_GB2312" w:cs="仿宋_GB2312"/>
          <w:color w:val="auto"/>
          <w:sz w:val="32"/>
          <w:szCs w:val="32"/>
          <w:highlight w:val="none"/>
          <w:shd w:val="clear" w:color="auto" w:fill="auto"/>
          <w:lang w:val="en-US" w:eastAsia="zh-CN"/>
        </w:rPr>
        <w:t>100.38万元</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项目承担单位：新疆财经大学</w:t>
      </w:r>
    </w:p>
    <w:p>
      <w:pPr>
        <w:spacing w:line="440" w:lineRule="exact"/>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    资金分配情况：</w:t>
      </w:r>
      <w:r>
        <w:rPr>
          <w:rFonts w:hint="eastAsia" w:ascii="仿宋_GB2312" w:hAnsi="仿宋_GB2312" w:eastAsia="仿宋_GB2312" w:cs="仿宋_GB2312"/>
          <w:color w:val="auto"/>
          <w:sz w:val="32"/>
          <w:szCs w:val="32"/>
          <w:highlight w:val="none"/>
          <w:shd w:val="clear" w:color="auto" w:fill="auto"/>
          <w:lang w:eastAsia="zh-CN"/>
        </w:rPr>
        <w:t>工资福利支出</w:t>
      </w:r>
      <w:r>
        <w:rPr>
          <w:rFonts w:hint="eastAsia" w:ascii="仿宋_GB2312" w:hAnsi="仿宋_GB2312" w:eastAsia="仿宋_GB2312" w:cs="仿宋_GB2312"/>
          <w:color w:val="auto"/>
          <w:sz w:val="32"/>
          <w:szCs w:val="32"/>
          <w:highlight w:val="none"/>
          <w:shd w:val="clear" w:color="auto" w:fill="auto"/>
          <w:lang w:val="en-US" w:eastAsia="zh-CN"/>
        </w:rPr>
        <w:t>9.38万元、商品服务支出91万元。</w:t>
      </w:r>
    </w:p>
    <w:p>
      <w:pPr>
        <w:spacing w:line="440" w:lineRule="exact"/>
        <w:ind w:firstLine="560"/>
        <w:rPr>
          <w:rFonts w:hint="eastAsia" w:asciiTheme="minorEastAsia" w:hAnsiTheme="minorEastAsia"/>
          <w:sz w:val="28"/>
          <w:szCs w:val="28"/>
        </w:rPr>
      </w:pPr>
      <w:r>
        <w:rPr>
          <w:rFonts w:hint="eastAsia" w:ascii="仿宋_GB2312" w:hAnsi="仿宋_GB2312" w:eastAsia="仿宋_GB2312" w:cs="仿宋_GB2312"/>
          <w:color w:val="auto"/>
          <w:sz w:val="32"/>
          <w:szCs w:val="32"/>
          <w:highlight w:val="none"/>
          <w:shd w:val="clear" w:color="auto" w:fill="auto"/>
        </w:rPr>
        <w:t>资金执行时间：201</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年1月——11月</w:t>
      </w:r>
    </w:p>
    <w:p>
      <w:pPr>
        <w:numPr>
          <w:ilvl w:val="0"/>
          <w:numId w:val="0"/>
        </w:numPr>
        <w:spacing w:beforeLines="50" w:afterLines="50" w:line="440" w:lineRule="exact"/>
        <w:ind w:firstLine="640" w:firstLineChars="200"/>
        <w:rPr>
          <w:rFonts w:hint="eastAsia" w:asciiTheme="minorEastAsia" w:hAnsiTheme="minorEastAsia"/>
          <w:sz w:val="28"/>
          <w:szCs w:val="28"/>
        </w:rPr>
      </w:pP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关于新疆财经大学201</w:t>
      </w: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rPr>
        <w:t>年一般公共预算“三公”经费预算</w:t>
      </w:r>
      <w:r>
        <w:rPr>
          <w:rFonts w:hint="eastAsia" w:ascii="黑体" w:hAnsi="黑体" w:eastAsia="黑体" w:cs="黑体"/>
          <w:b w:val="0"/>
          <w:bCs/>
          <w:sz w:val="32"/>
          <w:szCs w:val="32"/>
          <w:lang w:eastAsia="zh-CN"/>
        </w:rPr>
        <w:t>情</w:t>
      </w:r>
      <w:r>
        <w:rPr>
          <w:rFonts w:hint="eastAsia" w:ascii="黑体" w:hAnsi="黑体" w:eastAsia="黑体" w:cs="黑体"/>
          <w:b w:val="0"/>
          <w:bCs/>
          <w:sz w:val="32"/>
          <w:szCs w:val="32"/>
        </w:rPr>
        <w:t xml:space="preserve">况说明  </w:t>
      </w:r>
      <w:r>
        <w:rPr>
          <w:rFonts w:hint="eastAsia" w:asciiTheme="minorEastAsia" w:hAnsiTheme="minorEastAsia"/>
          <w:sz w:val="28"/>
          <w:szCs w:val="28"/>
        </w:rPr>
        <w:t xml:space="preserve"> </w:t>
      </w:r>
    </w:p>
    <w:p>
      <w:pPr>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新疆财经大学2019年“三公”经费财政拨款预算数为0万元，其中：因公出国（境）费0万元，公务用车购置0万元，公务用车运行费0万元，公务接待费0万元。</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2019年“三公”经费财政拨款预算与上年相比无变化，其中：因公出国（境）费0万元，公务用车购置0万元，公务用车运行费0万元，公务接待费0万元，主要原因是未使用一般公共预算安排“三公”经费。</w:t>
      </w:r>
    </w:p>
    <w:p>
      <w:pPr>
        <w:spacing w:beforeLines="50" w:afterLines="50" w:line="440" w:lineRule="exact"/>
        <w:ind w:firstLine="640" w:firstLineChars="200"/>
        <w:rPr>
          <w:rFonts w:asciiTheme="minorEastAsia" w:hAnsiTheme="minorEastAsia"/>
          <w:b/>
          <w:sz w:val="28"/>
          <w:szCs w:val="28"/>
        </w:rPr>
      </w:pPr>
      <w:r>
        <w:rPr>
          <w:rFonts w:hint="eastAsia" w:ascii="黑体" w:hAnsi="黑体" w:eastAsia="黑体" w:cs="黑体"/>
          <w:b w:val="0"/>
          <w:bCs/>
          <w:sz w:val="32"/>
          <w:szCs w:val="32"/>
        </w:rPr>
        <w:t>九、关于新疆财经大学201</w:t>
      </w: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rPr>
        <w:t>年政府性基金预算拨款</w:t>
      </w:r>
      <w:r>
        <w:rPr>
          <w:rFonts w:hint="eastAsia" w:ascii="黑体" w:hAnsi="黑体" w:eastAsia="黑体" w:cs="黑体"/>
          <w:b w:val="0"/>
          <w:bCs/>
          <w:sz w:val="32"/>
          <w:szCs w:val="32"/>
          <w:lang w:eastAsia="zh-CN"/>
        </w:rPr>
        <w:t>情况</w:t>
      </w:r>
      <w:r>
        <w:rPr>
          <w:rFonts w:hint="eastAsia" w:ascii="黑体" w:hAnsi="黑体" w:eastAsia="黑体" w:cs="黑体"/>
          <w:b w:val="0"/>
          <w:bCs/>
          <w:sz w:val="32"/>
          <w:szCs w:val="32"/>
        </w:rPr>
        <w:t>说明</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新疆财经大学201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没有使用政府性基金预算拨款安排的支出，政府性基金预算支出情况表为空表。</w:t>
      </w:r>
    </w:p>
    <w:p>
      <w:pPr>
        <w:spacing w:beforeLines="50" w:afterLines="50" w:line="4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十、其他重要事项的情况说明</w:t>
      </w:r>
    </w:p>
    <w:p>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年，新疆财经大学</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机关运行经费财政拨款预算</w:t>
      </w:r>
      <w:r>
        <w:rPr>
          <w:rFonts w:hint="eastAsia" w:ascii="仿宋_GB2312" w:hAnsi="仿宋_GB2312" w:eastAsia="仿宋_GB2312" w:cs="仿宋_GB2312"/>
          <w:sz w:val="32"/>
          <w:szCs w:val="32"/>
          <w:lang w:val="en-US" w:eastAsia="zh-CN"/>
        </w:rPr>
        <w:t>1066.23</w:t>
      </w:r>
      <w:r>
        <w:rPr>
          <w:rFonts w:hint="eastAsia" w:ascii="仿宋_GB2312" w:hAnsi="仿宋_GB2312" w:eastAsia="仿宋_GB2312" w:cs="仿宋_GB2312"/>
          <w:sz w:val="32"/>
          <w:szCs w:val="32"/>
        </w:rPr>
        <w:t>万元，比上年预算减少</w:t>
      </w:r>
      <w:r>
        <w:rPr>
          <w:rFonts w:hint="eastAsia" w:ascii="仿宋_GB2312" w:hAnsi="仿宋_GB2312" w:eastAsia="仿宋_GB2312" w:cs="仿宋_GB2312"/>
          <w:sz w:val="32"/>
          <w:szCs w:val="32"/>
          <w:lang w:val="en-US" w:eastAsia="zh-CN"/>
        </w:rPr>
        <w:t>147.96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lang w:val="en-US" w:eastAsia="zh-CN"/>
        </w:rPr>
        <w:t>12.19</w:t>
      </w:r>
      <w:r>
        <w:rPr>
          <w:rFonts w:hint="eastAsia" w:ascii="仿宋_GB2312" w:hAnsi="仿宋_GB2312" w:eastAsia="仿宋_GB2312" w:cs="仿宋_GB2312"/>
          <w:sz w:val="32"/>
          <w:szCs w:val="32"/>
        </w:rPr>
        <w:t>%。主要原因：办公费、电费</w:t>
      </w:r>
      <w:r>
        <w:rPr>
          <w:rFonts w:hint="eastAsia" w:ascii="仿宋_GB2312" w:hAnsi="仿宋_GB2312" w:eastAsia="仿宋_GB2312" w:cs="仿宋_GB2312"/>
          <w:sz w:val="32"/>
          <w:szCs w:val="32"/>
          <w:lang w:eastAsia="zh-CN"/>
        </w:rPr>
        <w:t>、差旅费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安排减少</w:t>
      </w:r>
      <w:r>
        <w:rPr>
          <w:rFonts w:hint="eastAsia" w:ascii="仿宋_GB2312" w:hAnsi="仿宋_GB2312" w:eastAsia="仿宋_GB2312" w:cs="仿宋_GB2312"/>
          <w:sz w:val="32"/>
          <w:szCs w:val="32"/>
        </w:rPr>
        <w:t>。</w:t>
      </w:r>
    </w:p>
    <w:p>
      <w:pPr>
        <w:widowControl/>
        <w:spacing w:line="580" w:lineRule="exact"/>
        <w:ind w:firstLine="642"/>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年，新疆财经大学政府采购预算</w:t>
      </w:r>
      <w:r>
        <w:rPr>
          <w:rFonts w:hint="eastAsia" w:ascii="仿宋_GB2312" w:hAnsi="仿宋_GB2312" w:eastAsia="仿宋_GB2312" w:cs="仿宋_GB2312"/>
          <w:sz w:val="32"/>
          <w:szCs w:val="32"/>
          <w:lang w:val="en-US" w:eastAsia="zh-CN"/>
        </w:rPr>
        <w:t>778.78</w:t>
      </w:r>
      <w:r>
        <w:rPr>
          <w:rFonts w:hint="eastAsia" w:ascii="仿宋_GB2312" w:hAnsi="仿宋_GB2312" w:eastAsia="仿宋_GB2312" w:cs="仿宋_GB2312"/>
          <w:sz w:val="32"/>
          <w:szCs w:val="32"/>
        </w:rPr>
        <w:t>万元，其中：政府采购货物预算</w:t>
      </w:r>
      <w:r>
        <w:rPr>
          <w:rFonts w:hint="eastAsia" w:ascii="仿宋_GB2312" w:hAnsi="仿宋_GB2312" w:eastAsia="仿宋_GB2312" w:cs="仿宋_GB2312"/>
          <w:sz w:val="32"/>
          <w:szCs w:val="32"/>
          <w:lang w:val="en-US" w:eastAsia="zh-CN"/>
        </w:rPr>
        <w:t>778.78</w:t>
      </w:r>
      <w:r>
        <w:rPr>
          <w:rFonts w:hint="eastAsia" w:ascii="仿宋_GB2312" w:hAnsi="仿宋_GB2312" w:eastAsia="仿宋_GB2312" w:cs="仿宋_GB2312"/>
          <w:sz w:val="32"/>
          <w:szCs w:val="32"/>
        </w:rPr>
        <w:t>万元，政府采购工程预算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，政府采购服务预算</w:t>
      </w:r>
      <w:r>
        <w:rPr>
          <w:rFonts w:hint="eastAsia" w:ascii="仿宋_GB2312" w:hAnsi="仿宋_GB2312" w:eastAsia="仿宋_GB2312" w:cs="仿宋_GB2312"/>
          <w:sz w:val="32"/>
          <w:szCs w:val="32"/>
          <w:lang w:val="en-US" w:eastAsia="zh-CN"/>
        </w:rPr>
        <w:t>0万元。</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年度本部门面向中小企业预留政府采购项目预算金额0万元，其中：面向小微企业预留政府采购项目预算金额0万元。</w:t>
      </w:r>
    </w:p>
    <w:p>
      <w:pPr>
        <w:widowControl/>
        <w:spacing w:line="580" w:lineRule="exact"/>
        <w:ind w:firstLine="642"/>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年底，新疆财经大学占用使用国有资产总体情况为：</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房屋272911.56平方米，价值45574.67万元。</w:t>
      </w:r>
    </w:p>
    <w:p>
      <w:pPr>
        <w:spacing w:line="4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车辆21辆，价值624.16万元；其中：一般公务用车21辆，价值624.16万元</w:t>
      </w:r>
      <w:r>
        <w:rPr>
          <w:rFonts w:hint="eastAsia" w:ascii="仿宋_GB2312" w:hAnsi="仿宋_GB2312" w:eastAsia="仿宋_GB2312" w:cs="仿宋_GB2312"/>
          <w:sz w:val="32"/>
          <w:szCs w:val="32"/>
          <w:highlight w:val="none"/>
          <w:lang w:eastAsia="zh-CN"/>
        </w:rPr>
        <w:t>；执法执勤用车</w:t>
      </w:r>
      <w:r>
        <w:rPr>
          <w:rFonts w:hint="eastAsia" w:ascii="仿宋_GB2312" w:hAnsi="仿宋_GB2312" w:eastAsia="仿宋_GB2312" w:cs="仿宋_GB2312"/>
          <w:sz w:val="32"/>
          <w:szCs w:val="32"/>
          <w:highlight w:val="none"/>
          <w:lang w:val="en-US" w:eastAsia="zh-CN"/>
        </w:rPr>
        <w:t>0辆，价值0万元；其他车辆0辆，价值0万元。</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3.办公家具价值</w:t>
      </w:r>
      <w:r>
        <w:rPr>
          <w:rFonts w:hint="eastAsia" w:ascii="仿宋_GB2312" w:hAnsi="仿宋_GB2312" w:eastAsia="仿宋_GB2312" w:cs="仿宋_GB2312"/>
          <w:sz w:val="32"/>
          <w:szCs w:val="32"/>
          <w:highlight w:val="none"/>
          <w:lang w:val="en-US" w:eastAsia="zh-CN"/>
        </w:rPr>
        <w:t>3284.04</w:t>
      </w:r>
      <w:r>
        <w:rPr>
          <w:rFonts w:hint="eastAsia" w:ascii="仿宋_GB2312" w:hAnsi="仿宋_GB2312" w:eastAsia="仿宋_GB2312" w:cs="仿宋_GB2312"/>
          <w:sz w:val="32"/>
          <w:szCs w:val="32"/>
          <w:highlight w:val="none"/>
        </w:rPr>
        <w:t>万元。</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其他资产价值</w:t>
      </w:r>
      <w:r>
        <w:rPr>
          <w:rFonts w:hint="eastAsia" w:ascii="仿宋_GB2312" w:hAnsi="仿宋_GB2312" w:eastAsia="仿宋_GB2312" w:cs="仿宋_GB2312"/>
          <w:sz w:val="32"/>
          <w:szCs w:val="32"/>
          <w:highlight w:val="none"/>
          <w:lang w:val="en-US" w:eastAsia="zh-CN"/>
        </w:rPr>
        <w:t>17671.22</w:t>
      </w:r>
      <w:r>
        <w:rPr>
          <w:rFonts w:hint="eastAsia" w:ascii="仿宋_GB2312" w:hAnsi="仿宋_GB2312" w:eastAsia="仿宋_GB2312" w:cs="仿宋_GB2312"/>
          <w:sz w:val="32"/>
          <w:szCs w:val="32"/>
          <w:highlight w:val="none"/>
        </w:rPr>
        <w:t>万元。</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单位价值50万元以上大型设备</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台，单位价值100万元以上大型设备0台。</w:t>
      </w:r>
    </w:p>
    <w:p>
      <w:pPr>
        <w:spacing w:line="44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年部门预算未安排购置车辆经费，安排购置50万元以上大型设备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套，单位价值100万元以上大型设备0台。</w:t>
      </w:r>
    </w:p>
    <w:p>
      <w:pPr>
        <w:widowControl/>
        <w:spacing w:line="58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pPr>
        <w:spacing w:line="4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年度，本年度实行绩效管理的项目</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个，涉及预算金额</w:t>
      </w:r>
      <w:r>
        <w:rPr>
          <w:rFonts w:hint="eastAsia" w:ascii="仿宋_GB2312" w:hAnsi="仿宋_GB2312" w:eastAsia="仿宋_GB2312" w:cs="仿宋_GB2312"/>
          <w:sz w:val="32"/>
          <w:szCs w:val="32"/>
          <w:lang w:val="en-US" w:eastAsia="zh-CN"/>
        </w:rPr>
        <w:t>14397.65</w:t>
      </w:r>
      <w:r>
        <w:rPr>
          <w:rFonts w:hint="eastAsia" w:ascii="仿宋_GB2312" w:hAnsi="仿宋_GB2312" w:eastAsia="仿宋_GB2312" w:cs="仿宋_GB2312"/>
          <w:sz w:val="32"/>
          <w:szCs w:val="32"/>
        </w:rPr>
        <w:t>万元。具体情况见下表：</w:t>
      </w:r>
    </w:p>
    <w:p>
      <w:pPr>
        <w:rPr>
          <w:rFonts w:hint="eastAsia"/>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项目一：</w:t>
      </w:r>
    </w:p>
    <w:p>
      <w:r>
        <w:drawing>
          <wp:inline distT="0" distB="0" distL="114300" distR="114300">
            <wp:extent cx="5466080" cy="6543675"/>
            <wp:effectExtent l="0" t="0" r="1270" b="9525"/>
            <wp:docPr id="2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6"/>
                    <pic:cNvPicPr>
                      <a:picLocks noChangeAspect="1"/>
                    </pic:cNvPicPr>
                  </pic:nvPicPr>
                  <pic:blipFill>
                    <a:blip r:embed="rId13"/>
                    <a:stretch>
                      <a:fillRect/>
                    </a:stretch>
                  </pic:blipFill>
                  <pic:spPr>
                    <a:xfrm>
                      <a:off x="0" y="0"/>
                      <a:ext cx="5466080" cy="6543675"/>
                    </a:xfrm>
                    <a:prstGeom prst="rect">
                      <a:avLst/>
                    </a:prstGeom>
                    <a:noFill/>
                    <a:ln w="9525">
                      <a:noFill/>
                    </a:ln>
                  </pic:spPr>
                </pic:pic>
              </a:graphicData>
            </a:graphic>
          </wp:inline>
        </w:drawing>
      </w:r>
    </w:p>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项目二：</w:t>
      </w:r>
    </w:p>
    <w:p>
      <w:bookmarkStart w:id="0" w:name="_GoBack"/>
      <w:r>
        <w:drawing>
          <wp:inline distT="0" distB="0" distL="114300" distR="114300">
            <wp:extent cx="5466080" cy="6671945"/>
            <wp:effectExtent l="0" t="0" r="1270" b="14605"/>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14"/>
                    <a:stretch>
                      <a:fillRect/>
                    </a:stretch>
                  </pic:blipFill>
                  <pic:spPr>
                    <a:xfrm>
                      <a:off x="0" y="0"/>
                      <a:ext cx="5466080" cy="6671945"/>
                    </a:xfrm>
                    <a:prstGeom prst="rect">
                      <a:avLst/>
                    </a:prstGeom>
                    <a:noFill/>
                    <a:ln w="9525">
                      <a:noFill/>
                    </a:ln>
                  </pic:spPr>
                </pic:pic>
              </a:graphicData>
            </a:graphic>
          </wp:inline>
        </w:drawing>
      </w:r>
      <w:bookmarkEnd w:id="0"/>
    </w:p>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项目三：</w:t>
      </w:r>
    </w:p>
    <w:p>
      <w:r>
        <w:drawing>
          <wp:inline distT="0" distB="0" distL="114300" distR="114300">
            <wp:extent cx="5466080" cy="8685530"/>
            <wp:effectExtent l="0" t="0" r="1270" b="1270"/>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15"/>
                    <a:stretch>
                      <a:fillRect/>
                    </a:stretch>
                  </pic:blipFill>
                  <pic:spPr>
                    <a:xfrm>
                      <a:off x="0" y="0"/>
                      <a:ext cx="5466080" cy="8685530"/>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项目四：</w:t>
      </w:r>
    </w:p>
    <w:p>
      <w:r>
        <w:drawing>
          <wp:inline distT="0" distB="0" distL="114300" distR="114300">
            <wp:extent cx="5466080" cy="4151630"/>
            <wp:effectExtent l="0" t="0" r="1270" b="1270"/>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6"/>
                    <a:stretch>
                      <a:fillRect/>
                    </a:stretch>
                  </pic:blipFill>
                  <pic:spPr>
                    <a:xfrm>
                      <a:off x="0" y="0"/>
                      <a:ext cx="5466080" cy="4151630"/>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项目五：</w:t>
      </w:r>
    </w:p>
    <w:p>
      <w:r>
        <w:drawing>
          <wp:inline distT="0" distB="0" distL="114300" distR="114300">
            <wp:extent cx="5466080" cy="4080510"/>
            <wp:effectExtent l="0" t="0" r="1270" b="15240"/>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17"/>
                    <a:stretch>
                      <a:fillRect/>
                    </a:stretch>
                  </pic:blipFill>
                  <pic:spPr>
                    <a:xfrm>
                      <a:off x="0" y="0"/>
                      <a:ext cx="5466080" cy="4080510"/>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项目六：</w:t>
      </w:r>
    </w:p>
    <w:p>
      <w:r>
        <w:drawing>
          <wp:inline distT="0" distB="0" distL="114300" distR="114300">
            <wp:extent cx="5466080" cy="3936365"/>
            <wp:effectExtent l="0" t="0" r="1270" b="698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18"/>
                    <a:stretch>
                      <a:fillRect/>
                    </a:stretch>
                  </pic:blipFill>
                  <pic:spPr>
                    <a:xfrm>
                      <a:off x="0" y="0"/>
                      <a:ext cx="5466080" cy="3936365"/>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项目七：</w:t>
      </w:r>
    </w:p>
    <w:p>
      <w:r>
        <w:drawing>
          <wp:inline distT="0" distB="0" distL="114300" distR="114300">
            <wp:extent cx="5466080" cy="4266565"/>
            <wp:effectExtent l="0" t="0" r="1270" b="63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9"/>
                    <a:stretch>
                      <a:fillRect/>
                    </a:stretch>
                  </pic:blipFill>
                  <pic:spPr>
                    <a:xfrm>
                      <a:off x="0" y="0"/>
                      <a:ext cx="5466080" cy="4266565"/>
                    </a:xfrm>
                    <a:prstGeom prst="rect">
                      <a:avLst/>
                    </a:prstGeom>
                    <a:noFill/>
                    <a:ln w="9525">
                      <a:noFill/>
                    </a:ln>
                  </pic:spPr>
                </pic:pic>
              </a:graphicData>
            </a:graphic>
          </wp:inline>
        </w:drawing>
      </w:r>
    </w:p>
    <w:p>
      <w:pPr>
        <w:rPr>
          <w:rFonts w:hint="eastAsia"/>
          <w:lang w:eastAsia="zh-CN"/>
        </w:rPr>
      </w:pPr>
      <w:r>
        <w:rPr>
          <w:rFonts w:hint="eastAsia" w:ascii="仿宋_GB2312" w:hAnsi="仿宋_GB2312" w:eastAsia="仿宋_GB2312" w:cs="仿宋_GB2312"/>
          <w:sz w:val="32"/>
          <w:szCs w:val="32"/>
          <w:lang w:eastAsia="zh-CN"/>
        </w:rPr>
        <w:t>项目八：</w:t>
      </w:r>
    </w:p>
    <w:p>
      <w:r>
        <w:drawing>
          <wp:inline distT="0" distB="0" distL="114300" distR="114300">
            <wp:extent cx="5466080" cy="3949700"/>
            <wp:effectExtent l="0" t="0" r="1270" b="12700"/>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20"/>
                    <a:stretch>
                      <a:fillRect/>
                    </a:stretch>
                  </pic:blipFill>
                  <pic:spPr>
                    <a:xfrm>
                      <a:off x="0" y="0"/>
                      <a:ext cx="5466080" cy="3949700"/>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项目九：</w:t>
      </w:r>
    </w:p>
    <w:p>
      <w:pPr>
        <w:rPr>
          <w:rFonts w:hint="eastAsia"/>
          <w:lang w:eastAsia="zh-CN"/>
        </w:rPr>
      </w:pPr>
    </w:p>
    <w:p>
      <w:pPr>
        <w:rPr>
          <w:rFonts w:hint="eastAsia"/>
          <w:lang w:eastAsia="zh-CN"/>
        </w:rPr>
      </w:pPr>
      <w:r>
        <w:drawing>
          <wp:inline distT="0" distB="0" distL="114300" distR="114300">
            <wp:extent cx="5466080" cy="4045585"/>
            <wp:effectExtent l="0" t="0" r="1270" b="1206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21"/>
                    <a:stretch>
                      <a:fillRect/>
                    </a:stretch>
                  </pic:blipFill>
                  <pic:spPr>
                    <a:xfrm>
                      <a:off x="0" y="0"/>
                      <a:ext cx="5466080" cy="4045585"/>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项目十：</w:t>
      </w:r>
    </w:p>
    <w:p>
      <w:r>
        <w:drawing>
          <wp:inline distT="0" distB="0" distL="114300" distR="114300">
            <wp:extent cx="5466080" cy="4102735"/>
            <wp:effectExtent l="0" t="0" r="1270" b="12065"/>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2"/>
                    <a:stretch>
                      <a:fillRect/>
                    </a:stretch>
                  </pic:blipFill>
                  <pic:spPr>
                    <a:xfrm>
                      <a:off x="0" y="0"/>
                      <a:ext cx="5466080" cy="4102735"/>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项目十一：</w:t>
      </w:r>
    </w:p>
    <w:p>
      <w:pPr>
        <w:rPr>
          <w:rFonts w:hint="eastAsia"/>
          <w:lang w:eastAsia="zh-CN"/>
        </w:rPr>
      </w:pPr>
    </w:p>
    <w:p>
      <w:r>
        <w:drawing>
          <wp:inline distT="0" distB="0" distL="114300" distR="114300">
            <wp:extent cx="5466080" cy="3901440"/>
            <wp:effectExtent l="0" t="0" r="1270" b="3810"/>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23"/>
                    <a:stretch>
                      <a:fillRect/>
                    </a:stretch>
                  </pic:blipFill>
                  <pic:spPr>
                    <a:xfrm>
                      <a:off x="0" y="0"/>
                      <a:ext cx="5466080" cy="3901440"/>
                    </a:xfrm>
                    <a:prstGeom prst="rect">
                      <a:avLst/>
                    </a:prstGeom>
                    <a:noFill/>
                    <a:ln w="9525">
                      <a:noFill/>
                    </a:ln>
                  </pic:spPr>
                </pic:pic>
              </a:graphicData>
            </a:graphic>
          </wp:inline>
        </w:drawing>
      </w:r>
    </w:p>
    <w:p>
      <w:pPr>
        <w:rPr>
          <w:rFonts w:hint="eastAsia"/>
          <w:lang w:eastAsia="zh-CN"/>
        </w:rPr>
      </w:pPr>
      <w:r>
        <w:rPr>
          <w:rFonts w:hint="eastAsia" w:ascii="仿宋_GB2312" w:hAnsi="仿宋_GB2312" w:eastAsia="仿宋_GB2312" w:cs="仿宋_GB2312"/>
          <w:sz w:val="32"/>
          <w:szCs w:val="32"/>
          <w:lang w:eastAsia="zh-CN"/>
        </w:rPr>
        <w:t>项目十二：</w:t>
      </w:r>
    </w:p>
    <w:p>
      <w:r>
        <w:drawing>
          <wp:inline distT="0" distB="0" distL="114300" distR="114300">
            <wp:extent cx="5466080" cy="3635375"/>
            <wp:effectExtent l="0" t="0" r="1270" b="3175"/>
            <wp:docPr id="2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4"/>
                    <pic:cNvPicPr>
                      <a:picLocks noChangeAspect="1"/>
                    </pic:cNvPicPr>
                  </pic:nvPicPr>
                  <pic:blipFill>
                    <a:blip r:embed="rId24"/>
                    <a:stretch>
                      <a:fillRect/>
                    </a:stretch>
                  </pic:blipFill>
                  <pic:spPr>
                    <a:xfrm>
                      <a:off x="0" y="0"/>
                      <a:ext cx="5466080" cy="3635375"/>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项目十三：</w:t>
      </w:r>
    </w:p>
    <w:p>
      <w:r>
        <w:drawing>
          <wp:inline distT="0" distB="0" distL="114300" distR="114300">
            <wp:extent cx="5466080" cy="4540250"/>
            <wp:effectExtent l="0" t="0" r="1270" b="12700"/>
            <wp:docPr id="2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pic:cNvPicPr>
                      <a:picLocks noChangeAspect="1"/>
                    </pic:cNvPicPr>
                  </pic:nvPicPr>
                  <pic:blipFill>
                    <a:blip r:embed="rId25"/>
                    <a:stretch>
                      <a:fillRect/>
                    </a:stretch>
                  </pic:blipFill>
                  <pic:spPr>
                    <a:xfrm>
                      <a:off x="0" y="0"/>
                      <a:ext cx="5466080" cy="4540250"/>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项目十四：</w:t>
      </w:r>
    </w:p>
    <w:p>
      <w:r>
        <w:drawing>
          <wp:inline distT="0" distB="0" distL="114300" distR="114300">
            <wp:extent cx="5466080" cy="4187825"/>
            <wp:effectExtent l="0" t="0" r="1270" b="317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6"/>
                    <a:stretch>
                      <a:fillRect/>
                    </a:stretch>
                  </pic:blipFill>
                  <pic:spPr>
                    <a:xfrm>
                      <a:off x="0" y="0"/>
                      <a:ext cx="5466080" cy="4187825"/>
                    </a:xfrm>
                    <a:prstGeom prst="rect">
                      <a:avLst/>
                    </a:prstGeom>
                    <a:noFill/>
                    <a:ln w="9525">
                      <a:noFill/>
                    </a:ln>
                  </pic:spPr>
                </pic:pic>
              </a:graphicData>
            </a:graphic>
          </wp:inline>
        </w:drawing>
      </w:r>
    </w:p>
    <w:p>
      <w:r>
        <w:rPr>
          <w:rFonts w:hint="eastAsia" w:ascii="仿宋_GB2312" w:hAnsi="仿宋_GB2312" w:eastAsia="仿宋_GB2312" w:cs="仿宋_GB2312"/>
          <w:sz w:val="32"/>
          <w:szCs w:val="32"/>
          <w:lang w:eastAsia="zh-CN"/>
        </w:rPr>
        <w:t>项目十五：</w:t>
      </w:r>
    </w:p>
    <w:p>
      <w:pPr>
        <w:rPr>
          <w:rFonts w:hint="eastAsia"/>
          <w:lang w:val="en-US" w:eastAsia="zh-CN"/>
        </w:rPr>
      </w:pPr>
      <w:r>
        <w:drawing>
          <wp:inline distT="0" distB="0" distL="114300" distR="114300">
            <wp:extent cx="5466080" cy="3864610"/>
            <wp:effectExtent l="0" t="0" r="1270" b="2540"/>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27"/>
                    <a:stretch>
                      <a:fillRect/>
                    </a:stretch>
                  </pic:blipFill>
                  <pic:spPr>
                    <a:xfrm>
                      <a:off x="0" y="0"/>
                      <a:ext cx="5466080" cy="3864610"/>
                    </a:xfrm>
                    <a:prstGeom prst="rect">
                      <a:avLst/>
                    </a:prstGeom>
                    <a:noFill/>
                    <a:ln w="9525">
                      <a:noFill/>
                    </a:ln>
                  </pic:spPr>
                </pic:pic>
              </a:graphicData>
            </a:graphic>
          </wp:inline>
        </w:drawing>
      </w:r>
      <w:r>
        <w:rPr>
          <w:rFonts w:hint="eastAsia"/>
          <w:lang w:val="en-US" w:eastAsia="zh-CN"/>
        </w:rPr>
        <w:t xml:space="preserve"> </w:t>
      </w:r>
    </w:p>
    <w:p>
      <w:pPr>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
    <w:p/>
    <w:p/>
    <w:p/>
    <w:p/>
    <w:p/>
    <w:p/>
    <w:p/>
    <w:p/>
    <w:p/>
    <w:p/>
    <w:p/>
    <w:p/>
    <w:p/>
    <w:p/>
    <w:p/>
    <w:p/>
    <w:p/>
    <w:p/>
    <w:p/>
    <w:p/>
    <w:p/>
    <w:p/>
    <w:p/>
    <w:p/>
    <w:p/>
    <w:p/>
    <w:p/>
    <w:p/>
    <w:p/>
    <w:p/>
    <w:p/>
    <w:p/>
    <w:p/>
    <w:p/>
    <w:p/>
    <w:p/>
    <w:p/>
    <w:p/>
    <w:p/>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第四部分 名词解释</w:t>
      </w:r>
    </w:p>
    <w:p>
      <w:pPr>
        <w:widowControl/>
        <w:spacing w:line="56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pPr>
        <w:spacing w:line="55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pPr>
        <w:spacing w:line="55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z w:val="32"/>
          <w:szCs w:val="32"/>
        </w:rPr>
        <w:t>包括公共财政拨款（补助）资金、专项收入。</w:t>
      </w:r>
    </w:p>
    <w:p>
      <w:pPr>
        <w:spacing w:line="55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pPr>
        <w:spacing w:line="55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pPr>
        <w:spacing w:line="55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pPr>
        <w:spacing w:line="55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部门支出预算的组成部分，是自治区本级部门为完成其特定的行政任务或事业发展目标，在基本支出预算之外编制的年度项目支出计划。</w:t>
      </w:r>
    </w:p>
    <w:p>
      <w:pPr>
        <w:spacing w:line="55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区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pPr>
        <w:spacing w:line="55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jc w:val="left"/>
        <w:rPr>
          <w:rFonts w:ascii="仿宋_GB2312" w:hAnsi="宋体" w:eastAsia="仿宋_GB2312" w:cs="宋体"/>
          <w:kern w:val="0"/>
          <w:sz w:val="32"/>
          <w:szCs w:val="32"/>
        </w:rPr>
      </w:pPr>
    </w:p>
    <w:p>
      <w:pPr>
        <w:widowControl/>
        <w:spacing w:line="560" w:lineRule="exact"/>
        <w:ind w:left="4800" w:hanging="4800" w:hangingChars="1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eastAsia="zh-CN"/>
        </w:rPr>
        <w:t>新疆财经大学</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2019</w:t>
      </w:r>
      <w:r>
        <w:rPr>
          <w:rFonts w:ascii="仿宋_GB2312" w:hAnsi="宋体" w:eastAsia="仿宋_GB2312" w:cs="宋体"/>
          <w:kern w:val="0"/>
          <w:sz w:val="32"/>
          <w:szCs w:val="32"/>
        </w:rPr>
        <w:t>年</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月</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24</w:t>
      </w: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日</w:t>
      </w:r>
    </w:p>
    <w:p>
      <w:r>
        <w:rPr>
          <w:rFonts w:hint="eastAsia" w:asciiTheme="minorEastAsia" w:hAnsiTheme="minorEastAsia"/>
          <w:sz w:val="28"/>
          <w:szCs w:val="28"/>
          <w:lang w:val="en-US" w:eastAsia="zh-CN"/>
        </w:rPr>
        <w:t xml:space="preserve">                          </w:t>
      </w:r>
    </w:p>
    <w:sectPr>
      <w:pgSz w:w="11906" w:h="16838"/>
      <w:pgMar w:top="1134" w:right="1644" w:bottom="79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Autospacing="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DF241"/>
    <w:multiLevelType w:val="singleLevel"/>
    <w:tmpl w:val="5EEDF241"/>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870779"/>
    <w:rsid w:val="038A20AF"/>
    <w:rsid w:val="040127B0"/>
    <w:rsid w:val="04385988"/>
    <w:rsid w:val="047A3004"/>
    <w:rsid w:val="05386722"/>
    <w:rsid w:val="07183E1D"/>
    <w:rsid w:val="0D7F3539"/>
    <w:rsid w:val="0E374A82"/>
    <w:rsid w:val="10A33F92"/>
    <w:rsid w:val="115E7D28"/>
    <w:rsid w:val="127E73FB"/>
    <w:rsid w:val="12EE4DBE"/>
    <w:rsid w:val="175D1709"/>
    <w:rsid w:val="17F45708"/>
    <w:rsid w:val="1B6C48DC"/>
    <w:rsid w:val="1C9D6B24"/>
    <w:rsid w:val="1DBF6986"/>
    <w:rsid w:val="1FB97C63"/>
    <w:rsid w:val="21E42B50"/>
    <w:rsid w:val="22F24660"/>
    <w:rsid w:val="232A166B"/>
    <w:rsid w:val="234A6C02"/>
    <w:rsid w:val="270455FC"/>
    <w:rsid w:val="28421396"/>
    <w:rsid w:val="2B071D3D"/>
    <w:rsid w:val="2B506B25"/>
    <w:rsid w:val="2BD106D4"/>
    <w:rsid w:val="2C9858A6"/>
    <w:rsid w:val="2D112EF6"/>
    <w:rsid w:val="31935E12"/>
    <w:rsid w:val="36BA1D09"/>
    <w:rsid w:val="379149AB"/>
    <w:rsid w:val="37FC0B91"/>
    <w:rsid w:val="38DF28FF"/>
    <w:rsid w:val="399C2129"/>
    <w:rsid w:val="3CAA7CF3"/>
    <w:rsid w:val="413954F6"/>
    <w:rsid w:val="442C2C02"/>
    <w:rsid w:val="445E6443"/>
    <w:rsid w:val="44F6423C"/>
    <w:rsid w:val="46E42F23"/>
    <w:rsid w:val="476F1044"/>
    <w:rsid w:val="48313C57"/>
    <w:rsid w:val="4AB93140"/>
    <w:rsid w:val="4CAE3BF5"/>
    <w:rsid w:val="4CC44991"/>
    <w:rsid w:val="4D1F4B2C"/>
    <w:rsid w:val="4D6446A6"/>
    <w:rsid w:val="4DA97D6C"/>
    <w:rsid w:val="4E00186C"/>
    <w:rsid w:val="4E2A4C0E"/>
    <w:rsid w:val="4EEA5F81"/>
    <w:rsid w:val="5002750E"/>
    <w:rsid w:val="512334EF"/>
    <w:rsid w:val="51E3684B"/>
    <w:rsid w:val="53205951"/>
    <w:rsid w:val="55863218"/>
    <w:rsid w:val="55B45E32"/>
    <w:rsid w:val="59017677"/>
    <w:rsid w:val="5A03236A"/>
    <w:rsid w:val="5A3A1576"/>
    <w:rsid w:val="5CC2422E"/>
    <w:rsid w:val="5EA51598"/>
    <w:rsid w:val="5F033B8D"/>
    <w:rsid w:val="5F2B17AF"/>
    <w:rsid w:val="5FFA7DFB"/>
    <w:rsid w:val="645B799E"/>
    <w:rsid w:val="65397CA9"/>
    <w:rsid w:val="66B86974"/>
    <w:rsid w:val="66CE44FB"/>
    <w:rsid w:val="680D7EBF"/>
    <w:rsid w:val="683F2BF8"/>
    <w:rsid w:val="68B82D66"/>
    <w:rsid w:val="697A5C25"/>
    <w:rsid w:val="6AAA38EF"/>
    <w:rsid w:val="6B8D57E6"/>
    <w:rsid w:val="6DEE058F"/>
    <w:rsid w:val="6E7B1A5B"/>
    <w:rsid w:val="6EBF1EB9"/>
    <w:rsid w:val="70B002AC"/>
    <w:rsid w:val="70C11306"/>
    <w:rsid w:val="70F92E1C"/>
    <w:rsid w:val="729A76EF"/>
    <w:rsid w:val="72C870DA"/>
    <w:rsid w:val="73596362"/>
    <w:rsid w:val="761F6F97"/>
    <w:rsid w:val="7653741D"/>
    <w:rsid w:val="77384AC9"/>
    <w:rsid w:val="77ED1ABE"/>
    <w:rsid w:val="7A3A5599"/>
    <w:rsid w:val="7CE36C9D"/>
    <w:rsid w:val="7DE33BA3"/>
    <w:rsid w:val="7E975992"/>
    <w:rsid w:val="7FEF2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黑体"/>
      <w:snapToGrid w:val="0"/>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2.emf"/><Relationship Id="rId26" Type="http://schemas.openxmlformats.org/officeDocument/2006/relationships/image" Target="media/image21.emf"/><Relationship Id="rId25" Type="http://schemas.openxmlformats.org/officeDocument/2006/relationships/image" Target="media/image20.emf"/><Relationship Id="rId24" Type="http://schemas.openxmlformats.org/officeDocument/2006/relationships/image" Target="media/image19.emf"/><Relationship Id="rId23" Type="http://schemas.openxmlformats.org/officeDocument/2006/relationships/image" Target="media/image18.emf"/><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2019-01-23T03:21:00Z</dcterms:created>
  <dc:creator>hp</dc:creator>
  <cp:lastModifiedBy>hp</cp:lastModifiedBy>
  <cp:lastPrinted>2019-01-24T10:03:00Z</cp:lastPrinted>
  <dcterms:modified xsi:type="dcterms:W3CDTF">2019-01-24T10:29:52Z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