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新疆财经大学高层次人才引进基本条件及待遇</w:t>
      </w:r>
    </w:p>
    <w:tbl>
      <w:tblPr>
        <w:tblStyle w:val="8"/>
        <w:tblW w:w="15735" w:type="dxa"/>
        <w:tblInd w:w="-8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274"/>
        <w:gridCol w:w="6662"/>
        <w:gridCol w:w="2268"/>
        <w:gridCol w:w="1276"/>
        <w:gridCol w:w="1417"/>
        <w:gridCol w:w="1134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>引进对象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条件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薪酬（工资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>、校内基础津贴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、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>博士专项津贴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等）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科研配套经费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安家费（免税）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职称</w:t>
            </w:r>
            <w:r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  <w:t>待遇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配偶工作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42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入编制</w:t>
            </w:r>
            <w:r>
              <w:rPr>
                <w:rFonts w:ascii="仿宋" w:hAnsi="仿宋" w:eastAsia="仿宋"/>
                <w:b/>
                <w:szCs w:val="21"/>
              </w:rPr>
              <w:t>引进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三</w:t>
            </w:r>
            <w:r>
              <w:rPr>
                <w:rFonts w:ascii="仿宋" w:hAnsi="仿宋" w:eastAsia="仿宋" w:cs="宋体"/>
                <w:kern w:val="0"/>
                <w:szCs w:val="21"/>
              </w:rPr>
              <w:t>层次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学科带头人</w:t>
            </w:r>
          </w:p>
          <w:p>
            <w:pPr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6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具有正高级</w:t>
            </w:r>
            <w:r>
              <w:rPr>
                <w:rFonts w:ascii="仿宋" w:hAnsi="仿宋" w:eastAsia="仿宋" w:cs="宋体"/>
                <w:kern w:val="0"/>
                <w:szCs w:val="21"/>
              </w:rPr>
              <w:t>职称及博士学历学位，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年龄</w:t>
            </w:r>
            <w:r>
              <w:rPr>
                <w:rFonts w:ascii="仿宋" w:hAnsi="仿宋" w:eastAsia="仿宋" w:cs="宋体"/>
                <w:kern w:val="0"/>
                <w:szCs w:val="21"/>
              </w:rPr>
              <w:t>原则上不超过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50周岁</w:t>
            </w:r>
            <w:r>
              <w:rPr>
                <w:rFonts w:ascii="仿宋" w:hAnsi="仿宋" w:eastAsia="仿宋" w:cs="宋体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近5年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主持国家级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项目2项</w:t>
            </w:r>
            <w:r>
              <w:rPr>
                <w:rFonts w:ascii="仿宋" w:hAnsi="仿宋" w:eastAsia="仿宋" w:cs="宋体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同时</w:t>
            </w:r>
            <w:r>
              <w:rPr>
                <w:rFonts w:ascii="仿宋" w:hAnsi="仿宋" w:eastAsia="仿宋" w:cs="宋体"/>
                <w:kern w:val="0"/>
                <w:szCs w:val="21"/>
              </w:rPr>
              <w:t>符合下列条件之一：</w:t>
            </w:r>
          </w:p>
          <w:p>
            <w:pPr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1.以</w:t>
            </w:r>
            <w:r>
              <w:rPr>
                <w:rFonts w:ascii="仿宋" w:hAnsi="仿宋" w:eastAsia="仿宋" w:cs="宋体"/>
                <w:kern w:val="0"/>
                <w:szCs w:val="21"/>
              </w:rPr>
              <w:t>第一作者发表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核心期刊论文7篇，其中重要及以上核心期刊论文3篇。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2.获省部级科学技术奖二等奖（个人排名第一）；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spacing w:val="-6"/>
                <w:kern w:val="0"/>
                <w:szCs w:val="21"/>
              </w:rPr>
              <w:t>中国高校人文社会科学研究成果奖三等奖（个人排名第一）；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4.省部级</w:t>
            </w:r>
            <w:r>
              <w:rPr>
                <w:rFonts w:ascii="仿宋" w:hAnsi="仿宋" w:eastAsia="仿宋" w:cs="宋体"/>
                <w:kern w:val="0"/>
                <w:szCs w:val="21"/>
              </w:rPr>
              <w:t>教学名师奖获得者；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省部级</w:t>
            </w:r>
            <w:r>
              <w:rPr>
                <w:rFonts w:ascii="仿宋" w:hAnsi="仿宋" w:eastAsia="仿宋" w:cs="宋体"/>
                <w:kern w:val="0"/>
                <w:szCs w:val="21"/>
              </w:rPr>
              <w:t>教学成果奖一等奖获得者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（个人排名第一）</w:t>
            </w:r>
            <w:r>
              <w:rPr>
                <w:rFonts w:ascii="仿宋" w:hAnsi="仿宋" w:eastAsia="仿宋" w:cs="宋体"/>
                <w:kern w:val="0"/>
                <w:szCs w:val="21"/>
              </w:rPr>
              <w:t>；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6.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省部级哲学社会科学优秀成果一等奖（个人排名第一）；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.省部级</w:t>
            </w:r>
            <w:r>
              <w:rPr>
                <w:rFonts w:ascii="仿宋" w:hAnsi="仿宋" w:eastAsia="仿宋" w:cs="宋体"/>
                <w:kern w:val="0"/>
                <w:szCs w:val="21"/>
              </w:rPr>
              <w:t>自然科学优秀学术论文奖一等奖(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个人排名第一</w:t>
            </w:r>
            <w:r>
              <w:rPr>
                <w:rFonts w:ascii="仿宋" w:hAnsi="仿宋" w:eastAsia="仿宋" w:cs="宋体"/>
                <w:kern w:val="0"/>
                <w:szCs w:val="21"/>
              </w:rPr>
              <w:t>);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25万元起/年（博士</w:t>
            </w:r>
            <w:r>
              <w:rPr>
                <w:rFonts w:ascii="仿宋" w:hAnsi="仿宋" w:eastAsia="仿宋"/>
                <w:szCs w:val="21"/>
              </w:rPr>
              <w:t>专项津贴</w:t>
            </w:r>
            <w:r>
              <w:rPr>
                <w:rFonts w:hint="eastAsia" w:ascii="仿宋" w:hAnsi="仿宋" w:eastAsia="仿宋"/>
                <w:szCs w:val="21"/>
              </w:rPr>
              <w:t>15万元）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20万元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入编后一次性提供安家费</w:t>
            </w:r>
            <w:r>
              <w:rPr>
                <w:rFonts w:ascii="仿宋" w:hAnsi="仿宋" w:eastAsia="仿宋"/>
                <w:szCs w:val="21"/>
              </w:rPr>
              <w:t>55</w:t>
            </w: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按原职称聘任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配偶符合学校相关条件的，妥善解决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28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第四层次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学术带头人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contextualSpacing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具有副高级</w:t>
            </w:r>
            <w:r>
              <w:rPr>
                <w:rFonts w:ascii="仿宋" w:hAnsi="仿宋" w:eastAsia="仿宋" w:cs="宋体"/>
                <w:kern w:val="0"/>
                <w:szCs w:val="21"/>
              </w:rPr>
              <w:t>职称及博士学历学位，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年龄</w:t>
            </w:r>
            <w:r>
              <w:rPr>
                <w:rFonts w:ascii="仿宋" w:hAnsi="仿宋" w:eastAsia="仿宋" w:cs="宋体"/>
                <w:kern w:val="0"/>
                <w:szCs w:val="21"/>
              </w:rPr>
              <w:t>原则上不超过45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周岁</w:t>
            </w:r>
            <w:r>
              <w:rPr>
                <w:rFonts w:ascii="仿宋" w:hAnsi="仿宋" w:eastAsia="仿宋" w:cs="宋体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近5年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主持国家级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项目</w:t>
            </w: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项或</w:t>
            </w:r>
            <w:r>
              <w:rPr>
                <w:rFonts w:ascii="仿宋" w:hAnsi="仿宋" w:eastAsia="仿宋" w:cs="宋体"/>
                <w:kern w:val="0"/>
                <w:szCs w:val="21"/>
              </w:rPr>
              <w:t>省部级项目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2项</w:t>
            </w:r>
            <w:r>
              <w:rPr>
                <w:rFonts w:ascii="仿宋" w:hAnsi="仿宋" w:eastAsia="仿宋" w:cs="宋体"/>
                <w:kern w:val="0"/>
                <w:szCs w:val="21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同时</w:t>
            </w:r>
            <w:r>
              <w:rPr>
                <w:rFonts w:ascii="仿宋" w:hAnsi="仿宋" w:eastAsia="仿宋" w:cs="宋体"/>
                <w:kern w:val="0"/>
                <w:szCs w:val="21"/>
              </w:rPr>
              <w:t>符合下列条件之一：</w:t>
            </w:r>
          </w:p>
          <w:p>
            <w:pPr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.以</w:t>
            </w:r>
            <w:r>
              <w:rPr>
                <w:rFonts w:ascii="仿宋" w:hAnsi="仿宋" w:eastAsia="仿宋" w:cs="宋体"/>
                <w:kern w:val="0"/>
                <w:szCs w:val="21"/>
              </w:rPr>
              <w:t>第一作者发表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核心期刊论文6篇；其中重要及以上核心期刊论文2篇。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2.获省部级科学技术奖三等奖（个人排名第一）；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.省部级教学</w:t>
            </w:r>
            <w:r>
              <w:rPr>
                <w:rFonts w:ascii="仿宋" w:hAnsi="仿宋" w:eastAsia="仿宋" w:cs="宋体"/>
                <w:kern w:val="0"/>
                <w:szCs w:val="21"/>
              </w:rPr>
              <w:t>成果奖二等奖获得者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（个人排名第一）</w:t>
            </w:r>
            <w:r>
              <w:rPr>
                <w:rFonts w:ascii="仿宋" w:hAnsi="仿宋" w:eastAsia="仿宋" w:cs="宋体"/>
                <w:kern w:val="0"/>
                <w:szCs w:val="21"/>
              </w:rPr>
              <w:t>；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4.省部级</w:t>
            </w:r>
            <w:r>
              <w:rPr>
                <w:rFonts w:ascii="仿宋" w:hAnsi="仿宋" w:eastAsia="仿宋" w:cs="宋体"/>
                <w:kern w:val="0"/>
                <w:szCs w:val="21"/>
              </w:rPr>
              <w:t>青年教师奖获得者；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省部级哲学社会科学优秀成果二等奖（个人排名第一）；</w:t>
            </w:r>
          </w:p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.省部级</w:t>
            </w:r>
            <w:r>
              <w:rPr>
                <w:rFonts w:ascii="仿宋" w:hAnsi="仿宋" w:eastAsia="仿宋" w:cs="宋体"/>
                <w:kern w:val="0"/>
                <w:szCs w:val="21"/>
              </w:rPr>
              <w:t>自然科学优秀学术论文二等奖(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个人排名第一</w:t>
            </w:r>
            <w:r>
              <w:rPr>
                <w:rFonts w:ascii="仿宋" w:hAnsi="仿宋" w:eastAsia="仿宋" w:cs="宋体"/>
                <w:kern w:val="0"/>
                <w:szCs w:val="21"/>
              </w:rPr>
              <w:t>);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22万元起/年 （博士专项</w:t>
            </w:r>
            <w:r>
              <w:rPr>
                <w:rFonts w:ascii="仿宋" w:hAnsi="仿宋" w:eastAsia="仿宋"/>
                <w:szCs w:val="21"/>
              </w:rPr>
              <w:t>津贴</w:t>
            </w:r>
            <w:r>
              <w:rPr>
                <w:rFonts w:hint="eastAsia" w:ascii="仿宋" w:hAnsi="仿宋" w:eastAsia="仿宋"/>
                <w:szCs w:val="21"/>
              </w:rPr>
              <w:t>12万元）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15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万元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入编后一次性提供安家费</w:t>
            </w:r>
            <w:r>
              <w:rPr>
                <w:rFonts w:ascii="仿宋" w:hAnsi="仿宋" w:eastAsia="仿宋"/>
                <w:szCs w:val="21"/>
              </w:rPr>
              <w:t>45</w:t>
            </w:r>
            <w:r>
              <w:rPr>
                <w:rFonts w:hint="eastAsia" w:ascii="仿宋" w:hAnsi="仿宋" w:eastAsia="仿宋"/>
                <w:szCs w:val="21"/>
              </w:rPr>
              <w:t>万元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按原职称聘任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配偶符合学校相关条件的，妥善解决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428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备注：</w:t>
            </w:r>
          </w:p>
        </w:tc>
        <w:tc>
          <w:tcPr>
            <w:tcW w:w="14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contextualSpacing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1.博士</w:t>
            </w:r>
            <w:r>
              <w:rPr>
                <w:rFonts w:ascii="仿宋" w:hAnsi="仿宋" w:eastAsia="仿宋" w:cs="宋体"/>
                <w:kern w:val="0"/>
                <w:szCs w:val="21"/>
              </w:rPr>
              <w:t>专项津贴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享受3年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2.成果</w:t>
            </w:r>
            <w:r>
              <w:rPr>
                <w:rFonts w:ascii="仿宋" w:hAnsi="仿宋" w:eastAsia="仿宋" w:cs="宋体"/>
                <w:kern w:val="0"/>
                <w:szCs w:val="21"/>
              </w:rPr>
              <w:t>必须是近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5年取得的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3.服务期原则上不少于8年，服务期5年-</w:t>
            </w:r>
            <w:r>
              <w:rPr>
                <w:rFonts w:ascii="仿宋" w:hAnsi="仿宋" w:eastAsia="仿宋" w:cs="宋体"/>
                <w:kern w:val="0"/>
                <w:szCs w:val="21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年的按照</w:t>
            </w:r>
            <w:r>
              <w:rPr>
                <w:rFonts w:ascii="仿宋" w:hAnsi="仿宋" w:eastAsia="仿宋" w:cs="宋体"/>
                <w:kern w:val="0"/>
                <w:szCs w:val="21"/>
              </w:rPr>
              <w:t>上述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标准</w:t>
            </w:r>
            <w:r>
              <w:rPr>
                <w:rFonts w:ascii="仿宋" w:hAnsi="仿宋" w:eastAsia="仿宋" w:cs="宋体"/>
                <w:kern w:val="0"/>
                <w:szCs w:val="21"/>
              </w:rPr>
              <w:t>进行折算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6838" w:h="11906" w:orient="landscape"/>
      <w:pgMar w:top="1633" w:right="1440" w:bottom="163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63"/>
    <w:rsid w:val="001029CB"/>
    <w:rsid w:val="0010587A"/>
    <w:rsid w:val="001550D7"/>
    <w:rsid w:val="001A7439"/>
    <w:rsid w:val="001A7894"/>
    <w:rsid w:val="003B6B1A"/>
    <w:rsid w:val="003F05E8"/>
    <w:rsid w:val="0044445B"/>
    <w:rsid w:val="00490627"/>
    <w:rsid w:val="0049365D"/>
    <w:rsid w:val="004B1B86"/>
    <w:rsid w:val="00562FC9"/>
    <w:rsid w:val="00574D60"/>
    <w:rsid w:val="00654820"/>
    <w:rsid w:val="00697388"/>
    <w:rsid w:val="00824F5A"/>
    <w:rsid w:val="008527A0"/>
    <w:rsid w:val="008619FD"/>
    <w:rsid w:val="00880480"/>
    <w:rsid w:val="00902BC5"/>
    <w:rsid w:val="00974EA3"/>
    <w:rsid w:val="00A52C16"/>
    <w:rsid w:val="00AA3DB1"/>
    <w:rsid w:val="00AE1073"/>
    <w:rsid w:val="00B61996"/>
    <w:rsid w:val="00B700EC"/>
    <w:rsid w:val="00DA298A"/>
    <w:rsid w:val="00DE1B63"/>
    <w:rsid w:val="035C69CA"/>
    <w:rsid w:val="04DE6875"/>
    <w:rsid w:val="13F540AE"/>
    <w:rsid w:val="4A77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6"/>
    <w:link w:val="4"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9A721F-7CE6-42F6-A827-E9A860B283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554</Words>
  <Characters>3164</Characters>
  <Lines>26</Lines>
  <Paragraphs>7</Paragraphs>
  <TotalTime>2</TotalTime>
  <ScaleCrop>false</ScaleCrop>
  <LinksUpToDate>false</LinksUpToDate>
  <CharactersWithSpaces>3711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2019-01-30T02:48:00Z</dcterms:created>
  <dc:creator>Users</dc:creator>
  <cp:lastModifiedBy>秘书科</cp:lastModifiedBy>
  <cp:lastPrinted>2019-01-31T04:34:00Z</cp:lastPrinted>
  <dcterms:modified xsi:type="dcterms:W3CDTF">2019-01-31T07:30:05Z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